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D6D6F" w14:textId="77777777" w:rsidR="00E27DAE" w:rsidRPr="00E27DAE" w:rsidRDefault="00E27DAE" w:rsidP="00E27DAE">
      <w:pPr>
        <w:spacing w:after="0" w:line="240" w:lineRule="auto"/>
        <w:rPr>
          <w:rFonts w:eastAsiaTheme="minorEastAsia"/>
          <w:b/>
          <w:kern w:val="0"/>
          <w:lang w:bidi="en-US"/>
          <w14:ligatures w14:val="none"/>
        </w:rPr>
      </w:pPr>
      <w:r w:rsidRPr="00E27DAE">
        <w:rPr>
          <w:rFonts w:eastAsiaTheme="minorEastAsia"/>
          <w:b/>
          <w:kern w:val="0"/>
          <w:lang w:bidi="en-US"/>
          <w14:ligatures w14:val="none"/>
        </w:rPr>
        <w:t>Board of Historic Resources Quarterly Meeting</w:t>
      </w:r>
    </w:p>
    <w:p w14:paraId="1D8C0C2D" w14:textId="5568FD8D" w:rsidR="00E27DAE" w:rsidRPr="00E27DAE" w:rsidRDefault="00E27DAE" w:rsidP="00E27DAE">
      <w:pPr>
        <w:spacing w:after="0" w:line="240" w:lineRule="auto"/>
        <w:rPr>
          <w:rFonts w:eastAsiaTheme="minorEastAsia"/>
          <w:b/>
          <w:kern w:val="0"/>
          <w:lang w:bidi="en-US"/>
          <w14:ligatures w14:val="none"/>
        </w:rPr>
      </w:pPr>
      <w:r w:rsidRPr="00E27DAE">
        <w:rPr>
          <w:rFonts w:eastAsiaTheme="minorEastAsia"/>
          <w:b/>
          <w:kern w:val="0"/>
          <w:lang w:bidi="en-US"/>
          <w14:ligatures w14:val="none"/>
        </w:rPr>
        <w:t>1</w:t>
      </w:r>
      <w:r>
        <w:rPr>
          <w:rFonts w:eastAsiaTheme="minorEastAsia"/>
          <w:b/>
          <w:kern w:val="0"/>
          <w:lang w:bidi="en-US"/>
          <w14:ligatures w14:val="none"/>
        </w:rPr>
        <w:t>8 September</w:t>
      </w:r>
      <w:r w:rsidRPr="00E27DAE">
        <w:rPr>
          <w:rFonts w:eastAsiaTheme="minorEastAsia"/>
          <w:b/>
          <w:kern w:val="0"/>
          <w:lang w:bidi="en-US"/>
          <w14:ligatures w14:val="none"/>
        </w:rPr>
        <w:t xml:space="preserve"> 2025</w:t>
      </w:r>
    </w:p>
    <w:p w14:paraId="20BBCD73" w14:textId="77777777" w:rsidR="00E27DAE" w:rsidRPr="00E27DAE" w:rsidRDefault="00E27DAE" w:rsidP="00E27DAE">
      <w:pPr>
        <w:spacing w:after="0" w:line="240" w:lineRule="auto"/>
        <w:rPr>
          <w:rFonts w:eastAsiaTheme="minorEastAsia"/>
          <w:b/>
          <w:kern w:val="0"/>
          <w:lang w:bidi="en-US"/>
          <w14:ligatures w14:val="none"/>
        </w:rPr>
      </w:pPr>
    </w:p>
    <w:p w14:paraId="7AE838F6" w14:textId="77777777" w:rsidR="00E27DAE" w:rsidRPr="00E27DAE" w:rsidRDefault="00E27DAE" w:rsidP="00E27DAE">
      <w:pPr>
        <w:spacing w:after="0" w:line="240" w:lineRule="auto"/>
        <w:rPr>
          <w:rFonts w:eastAsiaTheme="minorEastAsia"/>
          <w:b/>
          <w:kern w:val="0"/>
          <w:u w:val="single"/>
          <w:lang w:bidi="en-US"/>
          <w14:ligatures w14:val="none"/>
        </w:rPr>
      </w:pPr>
      <w:r w:rsidRPr="00E27DAE">
        <w:rPr>
          <w:rFonts w:eastAsiaTheme="minorEastAsia"/>
          <w:b/>
          <w:kern w:val="0"/>
          <w:u w:val="single"/>
          <w:lang w:bidi="en-US"/>
          <w14:ligatures w14:val="none"/>
        </w:rPr>
        <w:t>New Markers</w:t>
      </w:r>
    </w:p>
    <w:p w14:paraId="39DE25C3" w14:textId="77777777" w:rsidR="00E27DAE" w:rsidRPr="00E27DAE" w:rsidRDefault="00E27DAE" w:rsidP="00E27DAE">
      <w:pPr>
        <w:spacing w:after="0" w:line="240" w:lineRule="auto"/>
        <w:rPr>
          <w:kern w:val="0"/>
          <w14:ligatures w14:val="none"/>
        </w:rPr>
      </w:pPr>
    </w:p>
    <w:p w14:paraId="1A5B6F00"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1.) Cypress Chapel Christian Church</w:t>
      </w:r>
    </w:p>
    <w:p w14:paraId="40BE1F94"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Cypress Chapel Christian Church</w:t>
      </w:r>
    </w:p>
    <w:p w14:paraId="58CE3CAB"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City of Suffolk</w:t>
      </w:r>
    </w:p>
    <w:p w14:paraId="7AFA4608"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1891 Cypress Chapel Road</w:t>
      </w:r>
    </w:p>
    <w:p w14:paraId="6E5D9FE8"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 Contact</w:t>
      </w:r>
      <w:r w:rsidRPr="00E27DAE">
        <w:rPr>
          <w:rFonts w:eastAsia="Times New Roman"/>
          <w:kern w:val="0"/>
          <w:lang w:bidi="en-US"/>
          <w14:ligatures w14:val="none"/>
        </w:rPr>
        <w:t xml:space="preserve">: Mary E. Hill, </w:t>
      </w:r>
      <w:hyperlink r:id="rId4" w:history="1">
        <w:r w:rsidRPr="00E27DAE">
          <w:rPr>
            <w:rFonts w:eastAsia="Times New Roman"/>
            <w:color w:val="0000FF"/>
            <w:kern w:val="0"/>
            <w:u w:val="single"/>
            <w:lang w:bidi="en-US"/>
            <w14:ligatures w14:val="none"/>
          </w:rPr>
          <w:t>hlovethyneighbor@aol.com</w:t>
        </w:r>
      </w:hyperlink>
      <w:r w:rsidRPr="00E27DAE">
        <w:rPr>
          <w:rFonts w:eastAsia="Times New Roman"/>
          <w:kern w:val="0"/>
          <w:lang w:bidi="en-US"/>
          <w14:ligatures w14:val="none"/>
        </w:rPr>
        <w:t xml:space="preserve"> </w:t>
      </w:r>
    </w:p>
    <w:p w14:paraId="18CC82FE" w14:textId="77777777" w:rsidR="00E27DAE" w:rsidRPr="00E27DAE" w:rsidRDefault="00E27DAE" w:rsidP="00E27DAE">
      <w:pPr>
        <w:spacing w:after="0" w:line="240" w:lineRule="auto"/>
        <w:contextualSpacing/>
        <w:rPr>
          <w:rFonts w:eastAsia="Times New Roman"/>
          <w:kern w:val="0"/>
          <w:lang w:bidi="en-US"/>
          <w14:ligatures w14:val="none"/>
        </w:rPr>
      </w:pPr>
    </w:p>
    <w:p w14:paraId="78C9F98D"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777787A9" w14:textId="77777777" w:rsidR="00E27DAE" w:rsidRPr="00E27DAE" w:rsidRDefault="00E27DAE" w:rsidP="00E27DAE">
      <w:pPr>
        <w:spacing w:after="0" w:line="240" w:lineRule="auto"/>
        <w:rPr>
          <w:rFonts w:eastAsia="Times New Roman"/>
          <w:kern w:val="0"/>
          <w:lang w:bidi="en-US"/>
          <w14:ligatures w14:val="none"/>
        </w:rPr>
      </w:pPr>
    </w:p>
    <w:p w14:paraId="3F9C5EE6"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Cypress Chapel Christian Church</w:t>
      </w:r>
    </w:p>
    <w:p w14:paraId="6CF164CF"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03B54F71"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kern w:val="0"/>
          <w:lang w:bidi="en-US"/>
          <w14:ligatures w14:val="none"/>
        </w:rPr>
        <w:t>In 1746, Rev. Beckett preached one sermon at the site which came to be known as the Chapel on Cypress swamp. While an actual building was not erected until about 1750 the site became a regular place of worship as early as 1746. Thirty years before this country obtained his independence from Great Britain, this church had been regularly meeting as a place of worship and a people of faith. Cypress Chapel is also historically known as being among one of the first churches to participate in the Restoration Movement. Cypress was the location of the first regular session of the Southern Christian Convention, held on 5-8 May 1858. This church has endured</w:t>
      </w:r>
    </w:p>
    <w:p w14:paraId="5DB54770"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kern w:val="0"/>
          <w:lang w:bidi="en-US"/>
          <w14:ligatures w14:val="none"/>
        </w:rPr>
        <w:t>major military conflicts from the American Revolutionary War to the Gulf War. On 21 Sept. 2025, the church will celebrate 275 years of service to God, country, and this community.</w:t>
      </w:r>
    </w:p>
    <w:p w14:paraId="0E828608" w14:textId="77777777" w:rsidR="00E27DAE" w:rsidRPr="00E27DAE" w:rsidRDefault="00E27DAE" w:rsidP="00E27DAE">
      <w:pPr>
        <w:spacing w:after="0" w:line="240" w:lineRule="auto"/>
        <w:contextualSpacing/>
        <w:rPr>
          <w:rFonts w:eastAsia="Times New Roman"/>
          <w:kern w:val="0"/>
          <w:lang w:bidi="en-US"/>
          <w14:ligatures w14:val="none"/>
        </w:rPr>
      </w:pPr>
    </w:p>
    <w:p w14:paraId="405C9B6D"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143 words/ 834 characters</w:t>
      </w:r>
    </w:p>
    <w:p w14:paraId="3BC3791E" w14:textId="77777777" w:rsidR="00E27DAE" w:rsidRPr="00E27DAE" w:rsidRDefault="00E27DAE" w:rsidP="00E27DAE">
      <w:pPr>
        <w:spacing w:after="0" w:line="240" w:lineRule="auto"/>
        <w:contextualSpacing/>
        <w:rPr>
          <w:rFonts w:eastAsia="Times New Roman"/>
          <w:b/>
          <w:kern w:val="0"/>
          <w:lang w:bidi="en-US"/>
          <w14:ligatures w14:val="none"/>
        </w:rPr>
      </w:pPr>
    </w:p>
    <w:p w14:paraId="550A498A" w14:textId="77777777" w:rsidR="00E27DAE" w:rsidRPr="00E27DAE" w:rsidRDefault="00E27DAE" w:rsidP="00E27DAE">
      <w:pPr>
        <w:spacing w:after="0" w:line="240" w:lineRule="auto"/>
        <w:rPr>
          <w:rFonts w:eastAsia="Times New Roman"/>
          <w:b/>
          <w:kern w:val="0"/>
          <w:szCs w:val="28"/>
          <w:lang w:bidi="en-US"/>
          <w14:ligatures w14:val="none"/>
        </w:rPr>
      </w:pPr>
    </w:p>
    <w:p w14:paraId="06B42494"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47EBF564" w14:textId="77777777" w:rsidR="00E27DAE" w:rsidRPr="00E27DAE" w:rsidRDefault="00E27DAE" w:rsidP="00E27DAE">
      <w:pPr>
        <w:spacing w:after="0" w:line="240" w:lineRule="auto"/>
        <w:rPr>
          <w:rFonts w:eastAsia="Times New Roman"/>
          <w:b/>
          <w:kern w:val="0"/>
          <w:szCs w:val="28"/>
          <w:lang w:bidi="en-US"/>
          <w14:ligatures w14:val="none"/>
        </w:rPr>
      </w:pPr>
    </w:p>
    <w:p w14:paraId="4231DCF0"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Cypress Chapel Christian Church</w:t>
      </w:r>
    </w:p>
    <w:p w14:paraId="0DF5B457" w14:textId="77777777" w:rsidR="00E27DAE" w:rsidRPr="00E27DAE" w:rsidRDefault="00E27DAE" w:rsidP="00E27DAE">
      <w:pPr>
        <w:spacing w:after="0" w:line="240" w:lineRule="auto"/>
        <w:jc w:val="both"/>
        <w:rPr>
          <w:rFonts w:eastAsia="Times New Roman"/>
          <w:kern w:val="0"/>
          <w:lang w:bidi="en-US"/>
          <w14:ligatures w14:val="none"/>
        </w:rPr>
      </w:pPr>
    </w:p>
    <w:p w14:paraId="26141638" w14:textId="46223E1E"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t>According to tradition, Christian worship near this site began ca. 1750. A Church of England chapel was completed in 1760 but was abandoned following the Revolutionary War. A congregation affiliated with the Christian Church, a denomination organized in 1794 after splitting from the Methodists, moved into the building and became known as Cypress Chapel Christian Church. The first regular session of the Southern Christian Convention, which formed in 1856 after a schism with northern churches, met here in 1858. The Rev. William B. Wellons, a nationally prominent leader in the denomination</w:t>
      </w:r>
      <w:r w:rsidR="00E529AE">
        <w:rPr>
          <w:rFonts w:eastAsia="Times New Roman"/>
          <w:kern w:val="0"/>
          <w:lang w:bidi="en-US"/>
          <w14:ligatures w14:val="none"/>
        </w:rPr>
        <w:t xml:space="preserve"> who </w:t>
      </w:r>
      <w:r w:rsidR="00971585">
        <w:rPr>
          <w:rFonts w:eastAsia="Times New Roman"/>
          <w:kern w:val="0"/>
          <w:lang w:bidi="en-US"/>
          <w14:ligatures w14:val="none"/>
        </w:rPr>
        <w:t xml:space="preserve">had been </w:t>
      </w:r>
      <w:r w:rsidRPr="00E27DAE">
        <w:rPr>
          <w:rFonts w:eastAsia="Times New Roman"/>
          <w:kern w:val="0"/>
          <w:lang w:bidi="en-US"/>
          <w14:ligatures w14:val="none"/>
        </w:rPr>
        <w:t>ordained</w:t>
      </w:r>
      <w:r w:rsidR="00E529AE">
        <w:rPr>
          <w:rFonts w:eastAsia="Times New Roman"/>
          <w:kern w:val="0"/>
          <w:lang w:bidi="en-US"/>
          <w14:ligatures w14:val="none"/>
        </w:rPr>
        <w:t xml:space="preserve"> here in </w:t>
      </w:r>
      <w:r w:rsidRPr="00E27DAE">
        <w:rPr>
          <w:rFonts w:eastAsia="Times New Roman"/>
          <w:kern w:val="0"/>
          <w:lang w:bidi="en-US"/>
          <w14:ligatures w14:val="none"/>
        </w:rPr>
        <w:t>1846</w:t>
      </w:r>
      <w:r w:rsidR="00E529AE">
        <w:rPr>
          <w:rFonts w:eastAsia="Times New Roman"/>
          <w:kern w:val="0"/>
          <w:lang w:bidi="en-US"/>
          <w14:ligatures w14:val="none"/>
        </w:rPr>
        <w:t xml:space="preserve">, </w:t>
      </w:r>
      <w:r w:rsidRPr="00E27DAE">
        <w:rPr>
          <w:rFonts w:eastAsia="Times New Roman"/>
          <w:kern w:val="0"/>
          <w:lang w:bidi="en-US"/>
          <w14:ligatures w14:val="none"/>
        </w:rPr>
        <w:t>served as pastor until 1872. The present sanctuary was built in 1925.</w:t>
      </w:r>
    </w:p>
    <w:p w14:paraId="6BA5270D" w14:textId="77777777" w:rsidR="00E27DAE" w:rsidRPr="00E27DAE" w:rsidRDefault="00E27DAE" w:rsidP="00E27DAE">
      <w:pPr>
        <w:spacing w:after="0" w:line="240" w:lineRule="auto"/>
        <w:jc w:val="both"/>
        <w:rPr>
          <w:rFonts w:eastAsia="Times New Roman"/>
          <w:kern w:val="0"/>
          <w:lang w:bidi="en-US"/>
          <w14:ligatures w14:val="none"/>
        </w:rPr>
      </w:pPr>
    </w:p>
    <w:p w14:paraId="39D80D37" w14:textId="0D898D1E"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w:t>
      </w:r>
      <w:r w:rsidR="00E529AE">
        <w:rPr>
          <w:rFonts w:eastAsia="Times New Roman"/>
          <w:b/>
          <w:kern w:val="0"/>
          <w:szCs w:val="28"/>
          <w:lang w:bidi="en-US"/>
          <w14:ligatures w14:val="none"/>
        </w:rPr>
        <w:t>10</w:t>
      </w:r>
      <w:r w:rsidRPr="00E27DAE">
        <w:rPr>
          <w:rFonts w:eastAsia="Times New Roman"/>
          <w:b/>
          <w:kern w:val="0"/>
          <w:szCs w:val="28"/>
          <w:lang w:bidi="en-US"/>
          <w14:ligatures w14:val="none"/>
        </w:rPr>
        <w:t xml:space="preserve"> words/ 69</w:t>
      </w:r>
      <w:r w:rsidR="00E529AE">
        <w:rPr>
          <w:rFonts w:eastAsia="Times New Roman"/>
          <w:b/>
          <w:kern w:val="0"/>
          <w:szCs w:val="28"/>
          <w:lang w:bidi="en-US"/>
          <w14:ligatures w14:val="none"/>
        </w:rPr>
        <w:t>9</w:t>
      </w:r>
      <w:r w:rsidRPr="00E27DAE">
        <w:rPr>
          <w:rFonts w:eastAsia="Times New Roman"/>
          <w:b/>
          <w:kern w:val="0"/>
          <w:szCs w:val="28"/>
          <w:lang w:bidi="en-US"/>
          <w14:ligatures w14:val="none"/>
        </w:rPr>
        <w:t xml:space="preserve"> characters</w:t>
      </w:r>
    </w:p>
    <w:p w14:paraId="307FDB9C" w14:textId="77777777" w:rsidR="00E27DAE" w:rsidRPr="00E27DAE" w:rsidRDefault="00E27DAE" w:rsidP="00E27DAE">
      <w:pPr>
        <w:spacing w:after="0" w:line="240" w:lineRule="auto"/>
        <w:jc w:val="both"/>
        <w:rPr>
          <w:rFonts w:eastAsia="Times New Roman"/>
          <w:kern w:val="0"/>
          <w:lang w:bidi="en-US"/>
          <w14:ligatures w14:val="none"/>
        </w:rPr>
      </w:pPr>
    </w:p>
    <w:p w14:paraId="3418C757"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35A41C03"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73D37CE6"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N. G. Newman, “Cypress Chapel,” typescript, n.d.</w:t>
      </w:r>
    </w:p>
    <w:p w14:paraId="136B6D48"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B4C2206"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W. E. MacClenny, “Sketch of Cypress Chapel Christian Church, Nansemond County, Va.,” typescript, 1910.</w:t>
      </w:r>
    </w:p>
    <w:p w14:paraId="52C202DD"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77F4CB72"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Rev. William B. Wellons, “Address Delivered at the Laying of the Corner-Stone of the New House of Worship,” Cypress Chapel, 10 Sept. 1870.</w:t>
      </w:r>
    </w:p>
    <w:p w14:paraId="052DDB97"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B4DD70B"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“Cypress Chapel Christian Church,” typescript, n.d.</w:t>
      </w:r>
    </w:p>
    <w:p w14:paraId="043F9AC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720F58C"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“Program Home Coming and Bi-Centennial Celebration,” Cypress Chapel Christian Church, 1950.</w:t>
      </w:r>
    </w:p>
    <w:p w14:paraId="6678B301"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F782194"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Durward T. Stokes and William T. Scott, </w:t>
      </w:r>
      <w:r w:rsidRPr="00E27DAE">
        <w:rPr>
          <w:rFonts w:eastAsia="Times New Roman"/>
          <w:i/>
          <w:iCs/>
          <w:kern w:val="0"/>
          <w:szCs w:val="28"/>
          <w:lang w:bidi="en-US"/>
          <w14:ligatures w14:val="none"/>
        </w:rPr>
        <w:t>A History of the Christian Church in the South</w:t>
      </w:r>
      <w:r w:rsidRPr="00E27DAE">
        <w:rPr>
          <w:rFonts w:eastAsia="Times New Roman"/>
          <w:kern w:val="0"/>
          <w:szCs w:val="28"/>
          <w:lang w:bidi="en-US"/>
          <w14:ligatures w14:val="none"/>
        </w:rPr>
        <w:t xml:space="preserve"> (Burlington, NC: Southern Conference United Church of Christ, 1975).</w:t>
      </w:r>
    </w:p>
    <w:p w14:paraId="7EACFA0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D013237"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The Vestry Book of the Upper Parish, Nansemond County, Virginia, 1743-1793</w:t>
      </w:r>
      <w:r w:rsidRPr="00E27DAE">
        <w:rPr>
          <w:rFonts w:eastAsia="Times New Roman"/>
          <w:kern w:val="0"/>
          <w:szCs w:val="28"/>
          <w:lang w:bidi="en-US"/>
          <w14:ligatures w14:val="none"/>
        </w:rPr>
        <w:t xml:space="preserve"> (Richmond: Library Board of Virginia, 1949). </w:t>
      </w:r>
      <w:hyperlink r:id="rId5" w:history="1">
        <w:r w:rsidRPr="00E27DAE">
          <w:rPr>
            <w:rFonts w:eastAsia="Times New Roman"/>
            <w:color w:val="0000FF"/>
            <w:kern w:val="0"/>
            <w:szCs w:val="28"/>
            <w:u w:val="single"/>
            <w:lang w:bidi="en-US"/>
            <w14:ligatures w14:val="none"/>
          </w:rPr>
          <w:t>https://babel.hathitrust.org/cgi/pt?id=mdp.39015075053853&amp;seq=231</w:t>
        </w:r>
      </w:hyperlink>
    </w:p>
    <w:p w14:paraId="41F04711"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9E31DE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8FF391A"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2.) Danville Canal</w:t>
      </w:r>
    </w:p>
    <w:p w14:paraId="523E82E5"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The Danville Research Center for African American History and Culture</w:t>
      </w:r>
    </w:p>
    <w:p w14:paraId="43306CF9"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City of Danville</w:t>
      </w:r>
    </w:p>
    <w:p w14:paraId="33D167DF"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424 Memorial Drive</w:t>
      </w:r>
    </w:p>
    <w:p w14:paraId="038AA092"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 Contact</w:t>
      </w:r>
      <w:r w:rsidRPr="00E27DAE">
        <w:rPr>
          <w:rFonts w:eastAsia="Times New Roman"/>
          <w:kern w:val="0"/>
          <w:lang w:bidi="en-US"/>
          <w14:ligatures w14:val="none"/>
        </w:rPr>
        <w:t xml:space="preserve">: Jonathan Hackworth, </w:t>
      </w:r>
      <w:hyperlink r:id="rId6" w:history="1">
        <w:r w:rsidRPr="00E27DAE">
          <w:rPr>
            <w:rFonts w:eastAsia="Times New Roman"/>
            <w:color w:val="0000FF"/>
            <w:kern w:val="0"/>
            <w:u w:val="single"/>
            <w:lang w:bidi="en-US"/>
            <w14:ligatures w14:val="none"/>
          </w:rPr>
          <w:t>jthackworth2000@icloud.com</w:t>
        </w:r>
      </w:hyperlink>
      <w:r w:rsidRPr="00E27DAE">
        <w:rPr>
          <w:rFonts w:eastAsia="Times New Roman"/>
          <w:kern w:val="0"/>
          <w:lang w:bidi="en-US"/>
          <w14:ligatures w14:val="none"/>
        </w:rPr>
        <w:t xml:space="preserve"> </w:t>
      </w:r>
    </w:p>
    <w:p w14:paraId="783EAA3F" w14:textId="77777777" w:rsidR="00E27DAE" w:rsidRPr="00E27DAE" w:rsidRDefault="00E27DAE" w:rsidP="00E27DAE">
      <w:pPr>
        <w:spacing w:after="0" w:line="240" w:lineRule="auto"/>
        <w:contextualSpacing/>
        <w:rPr>
          <w:rFonts w:eastAsia="Times New Roman"/>
          <w:kern w:val="0"/>
          <w:lang w:bidi="en-US"/>
          <w14:ligatures w14:val="none"/>
        </w:rPr>
      </w:pPr>
    </w:p>
    <w:p w14:paraId="17162F58"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49231191" w14:textId="77777777" w:rsidR="00E27DAE" w:rsidRPr="00E27DAE" w:rsidRDefault="00E27DAE" w:rsidP="00E27DAE">
      <w:pPr>
        <w:spacing w:after="0" w:line="240" w:lineRule="auto"/>
        <w:rPr>
          <w:rFonts w:eastAsia="Times New Roman"/>
          <w:kern w:val="0"/>
          <w:lang w:bidi="en-US"/>
          <w14:ligatures w14:val="none"/>
        </w:rPr>
      </w:pPr>
    </w:p>
    <w:p w14:paraId="6165D645"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Danville Canal and the Roanoke Navigation Company</w:t>
      </w:r>
    </w:p>
    <w:p w14:paraId="1AD9F2CE"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3644853B" w14:textId="77777777" w:rsidR="00E27DAE" w:rsidRPr="00E27DAE" w:rsidRDefault="00E27DAE" w:rsidP="00E27DAE">
      <w:pPr>
        <w:autoSpaceDE w:val="0"/>
        <w:autoSpaceDN w:val="0"/>
        <w:adjustRightInd w:val="0"/>
        <w:spacing w:after="0" w:line="240" w:lineRule="auto"/>
        <w:rPr>
          <w:rFonts w:ascii="TimesNewRomanPSMT" w:eastAsia="Calibri" w:hAnsi="TimesNewRomanPSMT" w:cs="TimesNewRomanPSMT"/>
          <w:kern w:val="0"/>
          <w14:ligatures w14:val="none"/>
        </w:rPr>
      </w:pPr>
      <w:r w:rsidRPr="00E27DAE">
        <w:rPr>
          <w:rFonts w:ascii="TimesNewRomanPSMT" w:eastAsia="Calibri" w:hAnsi="TimesNewRomanPSMT" w:cs="TimesNewRomanPSMT"/>
          <w:kern w:val="0"/>
          <w14:ligatures w14:val="none"/>
        </w:rPr>
        <w:t xml:space="preserve">The canal, originally built in 1794 by John Barnett, became part of the </w:t>
      </w:r>
      <w:bookmarkStart w:id="0" w:name="_Hlk203572058"/>
      <w:r w:rsidRPr="00E27DAE">
        <w:rPr>
          <w:rFonts w:ascii="TimesNewRomanPSMT" w:eastAsia="Calibri" w:hAnsi="TimesNewRomanPSMT" w:cs="TimesNewRomanPSMT"/>
          <w:kern w:val="0"/>
          <w14:ligatures w14:val="none"/>
        </w:rPr>
        <w:t>Lewis &amp; Cabell firm in</w:t>
      </w:r>
    </w:p>
    <w:p w14:paraId="7DB7EB57" w14:textId="77777777" w:rsidR="00E27DAE" w:rsidRPr="00E27DAE" w:rsidRDefault="00E27DAE" w:rsidP="00E27DAE">
      <w:pPr>
        <w:autoSpaceDE w:val="0"/>
        <w:autoSpaceDN w:val="0"/>
        <w:adjustRightInd w:val="0"/>
        <w:spacing w:after="0" w:line="240" w:lineRule="auto"/>
        <w:rPr>
          <w:rFonts w:ascii="TimesNewRomanPSMT" w:eastAsia="Calibri" w:hAnsi="TimesNewRomanPSMT" w:cs="TimesNewRomanPSMT"/>
          <w:kern w:val="0"/>
          <w14:ligatures w14:val="none"/>
        </w:rPr>
      </w:pPr>
      <w:r w:rsidRPr="00E27DAE">
        <w:rPr>
          <w:rFonts w:ascii="TimesNewRomanPSMT" w:eastAsia="Calibri" w:hAnsi="TimesNewRomanPSMT" w:cs="TimesNewRomanPSMT"/>
          <w:kern w:val="0"/>
          <w14:ligatures w14:val="none"/>
        </w:rPr>
        <w:t>1816 after legal disputes</w:t>
      </w:r>
      <w:bookmarkEnd w:id="0"/>
      <w:r w:rsidRPr="00E27DAE">
        <w:rPr>
          <w:rFonts w:ascii="TimesNewRomanPSMT" w:eastAsia="Calibri" w:hAnsi="TimesNewRomanPSMT" w:cs="TimesNewRomanPSMT"/>
          <w:kern w:val="0"/>
          <w14:ligatures w14:val="none"/>
        </w:rPr>
        <w:t>. From 1818 to 1821, Lewis &amp; Cabell negotiated with the Roanoke</w:t>
      </w:r>
    </w:p>
    <w:p w14:paraId="13CC70AE" w14:textId="77777777" w:rsidR="00E27DAE" w:rsidRPr="00E27DAE" w:rsidRDefault="00E27DAE" w:rsidP="00E27DAE">
      <w:pPr>
        <w:autoSpaceDE w:val="0"/>
        <w:autoSpaceDN w:val="0"/>
        <w:adjustRightInd w:val="0"/>
        <w:spacing w:after="0" w:line="240" w:lineRule="auto"/>
        <w:rPr>
          <w:rFonts w:ascii="TimesNewRomanPSMT" w:eastAsia="Calibri" w:hAnsi="TimesNewRomanPSMT" w:cs="TimesNewRomanPSMT"/>
          <w:kern w:val="0"/>
          <w14:ligatures w14:val="none"/>
        </w:rPr>
      </w:pPr>
      <w:r w:rsidRPr="00E27DAE">
        <w:rPr>
          <w:rFonts w:ascii="TimesNewRomanPSMT" w:eastAsia="Calibri" w:hAnsi="TimesNewRomanPSMT" w:cs="TimesNewRomanPSMT"/>
          <w:kern w:val="0"/>
          <w14:ligatures w14:val="none"/>
        </w:rPr>
        <w:t>Navigation Company, a joint effort by Virginia and North Carolina to improve regional</w:t>
      </w:r>
    </w:p>
    <w:p w14:paraId="250B714B" w14:textId="77777777" w:rsidR="00E27DAE" w:rsidRPr="00E27DAE" w:rsidRDefault="00E27DAE" w:rsidP="00E27DAE">
      <w:pPr>
        <w:autoSpaceDE w:val="0"/>
        <w:autoSpaceDN w:val="0"/>
        <w:adjustRightInd w:val="0"/>
        <w:spacing w:after="0" w:line="240" w:lineRule="auto"/>
        <w:rPr>
          <w:rFonts w:ascii="TimesNewRomanPSMT" w:eastAsia="Calibri" w:hAnsi="TimesNewRomanPSMT" w:cs="TimesNewRomanPSMT"/>
          <w:kern w:val="0"/>
          <w14:ligatures w14:val="none"/>
        </w:rPr>
      </w:pPr>
      <w:r w:rsidRPr="00E27DAE">
        <w:rPr>
          <w:rFonts w:ascii="TimesNewRomanPSMT" w:eastAsia="Calibri" w:hAnsi="TimesNewRomanPSMT" w:cs="TimesNewRomanPSMT"/>
          <w:kern w:val="0"/>
          <w14:ligatures w14:val="none"/>
        </w:rPr>
        <w:t>waterways. Using 50 enslaved laborers, the Roanoke Navigation Company enhanced the canal</w:t>
      </w:r>
    </w:p>
    <w:p w14:paraId="430618EC" w14:textId="77777777" w:rsidR="00E27DAE" w:rsidRPr="00E27DAE" w:rsidRDefault="00E27DAE" w:rsidP="00E27DAE">
      <w:pPr>
        <w:autoSpaceDE w:val="0"/>
        <w:autoSpaceDN w:val="0"/>
        <w:adjustRightInd w:val="0"/>
        <w:spacing w:after="0" w:line="240" w:lineRule="auto"/>
        <w:rPr>
          <w:rFonts w:ascii="TimesNewRomanPSMT" w:eastAsia="Calibri" w:hAnsi="TimesNewRomanPSMT" w:cs="TimesNewRomanPSMT"/>
          <w:kern w:val="0"/>
          <w14:ligatures w14:val="none"/>
        </w:rPr>
      </w:pPr>
      <w:r w:rsidRPr="00E27DAE">
        <w:rPr>
          <w:rFonts w:ascii="TimesNewRomanPSMT" w:eastAsia="Calibri" w:hAnsi="TimesNewRomanPSMT" w:cs="TimesNewRomanPSMT"/>
          <w:kern w:val="0"/>
          <w14:ligatures w14:val="none"/>
        </w:rPr>
        <w:t>between 1822 and 1825. The ¾-mile canal featured three lower locks with basins and a 900-foot</w:t>
      </w:r>
    </w:p>
    <w:p w14:paraId="5BF6E4EF" w14:textId="77777777" w:rsidR="00E27DAE" w:rsidRPr="00E27DAE" w:rsidRDefault="00E27DAE" w:rsidP="00E27DAE">
      <w:pPr>
        <w:autoSpaceDE w:val="0"/>
        <w:autoSpaceDN w:val="0"/>
        <w:adjustRightInd w:val="0"/>
        <w:spacing w:after="0" w:line="240" w:lineRule="auto"/>
        <w:rPr>
          <w:rFonts w:ascii="TimesNewRomanPSMT" w:eastAsia="Calibri" w:hAnsi="TimesNewRomanPSMT" w:cs="TimesNewRomanPSMT"/>
          <w:kern w:val="0"/>
          <w14:ligatures w14:val="none"/>
        </w:rPr>
      </w:pPr>
      <w:r w:rsidRPr="00E27DAE">
        <w:rPr>
          <w:rFonts w:ascii="TimesNewRomanPSMT" w:eastAsia="Calibri" w:hAnsi="TimesNewRomanPSMT" w:cs="TimesNewRomanPSMT"/>
          <w:kern w:val="0"/>
          <w14:ligatures w14:val="none"/>
        </w:rPr>
        <w:t>stone upper lock and wing dam, facilitating transport around the Great Falls in Danville and</w:t>
      </w:r>
    </w:p>
    <w:p w14:paraId="29B97E71"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ascii="TimesNewRomanPSMT" w:eastAsia="Calibri" w:hAnsi="TimesNewRomanPSMT" w:cs="TimesNewRomanPSMT"/>
          <w:kern w:val="0"/>
          <w14:ligatures w14:val="none"/>
        </w:rPr>
        <w:t>further facilitating trade along the Roanoke River and its tributaries.</w:t>
      </w:r>
    </w:p>
    <w:p w14:paraId="4C3471D1" w14:textId="77777777" w:rsidR="00E27DAE" w:rsidRPr="00E27DAE" w:rsidRDefault="00E27DAE" w:rsidP="00E27DAE">
      <w:pPr>
        <w:spacing w:after="0" w:line="240" w:lineRule="auto"/>
        <w:contextualSpacing/>
        <w:rPr>
          <w:rFonts w:eastAsia="Times New Roman"/>
          <w:kern w:val="0"/>
          <w:lang w:bidi="en-US"/>
          <w14:ligatures w14:val="none"/>
        </w:rPr>
      </w:pPr>
    </w:p>
    <w:p w14:paraId="12FF44AE"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99 words/ 611 characters</w:t>
      </w:r>
    </w:p>
    <w:p w14:paraId="65FA944F" w14:textId="77777777" w:rsidR="00E27DAE" w:rsidRPr="00E27DAE" w:rsidRDefault="00E27DAE" w:rsidP="00E27DAE">
      <w:pPr>
        <w:spacing w:after="0" w:line="240" w:lineRule="auto"/>
        <w:contextualSpacing/>
        <w:rPr>
          <w:rFonts w:eastAsia="Times New Roman"/>
          <w:b/>
          <w:kern w:val="0"/>
          <w:lang w:bidi="en-US"/>
          <w14:ligatures w14:val="none"/>
        </w:rPr>
      </w:pPr>
    </w:p>
    <w:p w14:paraId="59189761" w14:textId="77777777" w:rsidR="00E27DAE" w:rsidRPr="00E27DAE" w:rsidRDefault="00E27DAE" w:rsidP="00E27DAE">
      <w:pPr>
        <w:spacing w:after="0" w:line="240" w:lineRule="auto"/>
        <w:rPr>
          <w:rFonts w:eastAsia="Times New Roman"/>
          <w:b/>
          <w:kern w:val="0"/>
          <w:szCs w:val="28"/>
          <w:lang w:bidi="en-US"/>
          <w14:ligatures w14:val="none"/>
        </w:rPr>
      </w:pPr>
    </w:p>
    <w:p w14:paraId="1F7447AC"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4AEE4662" w14:textId="77777777" w:rsidR="00E27DAE" w:rsidRPr="00E27DAE" w:rsidRDefault="00E27DAE" w:rsidP="00E27DAE">
      <w:pPr>
        <w:spacing w:after="0" w:line="240" w:lineRule="auto"/>
        <w:rPr>
          <w:rFonts w:eastAsia="Times New Roman"/>
          <w:b/>
          <w:kern w:val="0"/>
          <w:szCs w:val="28"/>
          <w:lang w:bidi="en-US"/>
          <w14:ligatures w14:val="none"/>
        </w:rPr>
      </w:pPr>
    </w:p>
    <w:p w14:paraId="320F0095" w14:textId="77777777" w:rsidR="00E27DAE" w:rsidRPr="00E27DAE" w:rsidRDefault="00E27DAE" w:rsidP="00E27DAE">
      <w:pPr>
        <w:spacing w:after="0" w:line="240" w:lineRule="auto"/>
        <w:jc w:val="both"/>
        <w:rPr>
          <w:rFonts w:eastAsia="Times New Roman"/>
          <w:b/>
          <w:kern w:val="0"/>
          <w:lang w:bidi="en-US"/>
          <w14:ligatures w14:val="none"/>
        </w:rPr>
      </w:pPr>
      <w:bookmarkStart w:id="1" w:name="_Hlk203572570"/>
      <w:r w:rsidRPr="00E27DAE">
        <w:rPr>
          <w:rFonts w:eastAsia="Times New Roman"/>
          <w:b/>
          <w:kern w:val="0"/>
          <w:lang w:bidi="en-US"/>
          <w14:ligatures w14:val="none"/>
        </w:rPr>
        <w:t>Danville Canal</w:t>
      </w:r>
    </w:p>
    <w:p w14:paraId="04962BF3" w14:textId="77777777" w:rsidR="00E27DAE" w:rsidRPr="00E27DAE" w:rsidRDefault="00E27DAE" w:rsidP="00E27DAE">
      <w:pPr>
        <w:spacing w:after="0" w:line="240" w:lineRule="auto"/>
        <w:jc w:val="both"/>
        <w:rPr>
          <w:rFonts w:eastAsia="Times New Roman"/>
          <w:kern w:val="0"/>
          <w:lang w:bidi="en-US"/>
          <w14:ligatures w14:val="none"/>
        </w:rPr>
      </w:pPr>
    </w:p>
    <w:p w14:paraId="1020B843" w14:textId="77777777"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lastRenderedPageBreak/>
        <w:t>John Barnett built a canal here in 1794 that evolved from a millrace into a linchpin of the region’s transportation network. The Roanoke Navigation Company, a joint effort by Virginia and North Carolina to promote commerce by improving waterways, enhanced the 3/4-mile-long canal in the mid-1820s. Fifty enslaved laborers built three lower locks with basins and a stone upper lock and wing dam, facilitating travel around the falls of the Dan River and making coastal markets more accessible to the interior. Goods were transported on batteaux operated primarily by free and enslaved African Americans. The canal was repurposed in the 1880s to power Danville’s booming textile industry</w:t>
      </w:r>
      <w:bookmarkEnd w:id="1"/>
      <w:r w:rsidRPr="00E27DAE">
        <w:rPr>
          <w:rFonts w:eastAsia="Times New Roman"/>
          <w:kern w:val="0"/>
          <w:lang w:bidi="en-US"/>
          <w14:ligatures w14:val="none"/>
        </w:rPr>
        <w:t>.</w:t>
      </w:r>
    </w:p>
    <w:p w14:paraId="5249918B" w14:textId="77777777" w:rsidR="00E27DAE" w:rsidRPr="00E27DAE" w:rsidRDefault="00E27DAE" w:rsidP="00E27DAE">
      <w:pPr>
        <w:spacing w:after="0" w:line="240" w:lineRule="auto"/>
        <w:jc w:val="both"/>
        <w:rPr>
          <w:rFonts w:eastAsia="Times New Roman"/>
          <w:kern w:val="0"/>
          <w:lang w:bidi="en-US"/>
          <w14:ligatures w14:val="none"/>
        </w:rPr>
      </w:pPr>
    </w:p>
    <w:p w14:paraId="6B616BF8"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107 words/ 686 characters</w:t>
      </w:r>
    </w:p>
    <w:p w14:paraId="1377E735" w14:textId="77777777" w:rsidR="00E27DAE" w:rsidRPr="00E27DAE" w:rsidRDefault="00E27DAE" w:rsidP="00E27DAE">
      <w:pPr>
        <w:spacing w:after="0" w:line="240" w:lineRule="auto"/>
        <w:jc w:val="both"/>
        <w:rPr>
          <w:rFonts w:eastAsia="Times New Roman"/>
          <w:kern w:val="0"/>
          <w:lang w:bidi="en-US"/>
          <w14:ligatures w14:val="none"/>
        </w:rPr>
      </w:pPr>
    </w:p>
    <w:p w14:paraId="79ED951F" w14:textId="77777777" w:rsidR="00E27DAE" w:rsidRPr="00E27DAE" w:rsidRDefault="00E27DAE" w:rsidP="00E27DAE">
      <w:pPr>
        <w:spacing w:after="0" w:line="240" w:lineRule="auto"/>
        <w:jc w:val="both"/>
        <w:rPr>
          <w:rFonts w:eastAsia="Times New Roman"/>
          <w:kern w:val="0"/>
          <w:lang w:bidi="en-US"/>
          <w14:ligatures w14:val="none"/>
        </w:rPr>
      </w:pPr>
    </w:p>
    <w:p w14:paraId="2A7EC14C"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5BCA3DF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78B87097"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Heirs of Halcott Towns vs. John Barnett, Chancery Cause, Index No. 1828-010, Library of Virginia.</w:t>
      </w:r>
    </w:p>
    <w:p w14:paraId="56C449B7"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34CCADF"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Alexandria Gazette</w:t>
      </w:r>
      <w:r w:rsidRPr="00E27DAE">
        <w:rPr>
          <w:rFonts w:eastAsia="Times New Roman"/>
          <w:kern w:val="0"/>
          <w:szCs w:val="28"/>
          <w:lang w:bidi="en-US"/>
          <w14:ligatures w14:val="none"/>
        </w:rPr>
        <w:t>, 7 June 1816.</w:t>
      </w:r>
    </w:p>
    <w:p w14:paraId="740F9B3C"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5C33EEA"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Richmond Enquirer</w:t>
      </w:r>
      <w:r w:rsidRPr="00E27DAE">
        <w:rPr>
          <w:rFonts w:eastAsia="Times New Roman"/>
          <w:kern w:val="0"/>
          <w:szCs w:val="28"/>
          <w:lang w:bidi="en-US"/>
          <w14:ligatures w14:val="none"/>
        </w:rPr>
        <w:t>, 4 March 1817, 20 Aug. 1819, 25 Nov. 1825.</w:t>
      </w:r>
    </w:p>
    <w:p w14:paraId="7E51630E"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3521E4E"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Annual Report of the President and Directors of the Board of Public Works to the General Assembly of Virginia</w:t>
      </w:r>
      <w:r w:rsidRPr="00E27DAE">
        <w:rPr>
          <w:rFonts w:eastAsia="Times New Roman"/>
          <w:kern w:val="0"/>
          <w:szCs w:val="28"/>
          <w:lang w:bidi="en-US"/>
          <w14:ligatures w14:val="none"/>
        </w:rPr>
        <w:t xml:space="preserve"> (Richmond, 1818, 1829-1831, 1850).</w:t>
      </w:r>
    </w:p>
    <w:p w14:paraId="5061408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DF51245"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North Carolina Board of Internal Improvements, Fulton’s Report</w:t>
      </w:r>
      <w:r w:rsidRPr="00E27DAE">
        <w:rPr>
          <w:rFonts w:eastAsia="Times New Roman"/>
          <w:kern w:val="0"/>
          <w:szCs w:val="28"/>
          <w:lang w:bidi="en-US"/>
          <w14:ligatures w14:val="none"/>
        </w:rPr>
        <w:t xml:space="preserve"> (1822, 1825).</w:t>
      </w:r>
    </w:p>
    <w:p w14:paraId="7DCAC6BE"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7375384"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Map of Roanoke Navigation Co. Property in Danville, VA (1875).</w:t>
      </w:r>
    </w:p>
    <w:p w14:paraId="508BEFC1"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379A22C"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Danville Historical Society Archives.</w:t>
      </w:r>
    </w:p>
    <w:p w14:paraId="0C4F2A6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41AA901"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Danville Bee</w:t>
      </w:r>
      <w:r w:rsidRPr="00E27DAE">
        <w:rPr>
          <w:rFonts w:eastAsia="Times New Roman"/>
          <w:kern w:val="0"/>
          <w:szCs w:val="28"/>
          <w:lang w:bidi="en-US"/>
          <w14:ligatures w14:val="none"/>
        </w:rPr>
        <w:t>, 22 Feb. 1971.</w:t>
      </w:r>
    </w:p>
    <w:p w14:paraId="1DD2614F"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AEBD44A"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Danville Register &amp; Bee</w:t>
      </w:r>
      <w:r w:rsidRPr="00E27DAE">
        <w:rPr>
          <w:rFonts w:eastAsia="Times New Roman"/>
          <w:kern w:val="0"/>
          <w:szCs w:val="28"/>
          <w:lang w:bidi="en-US"/>
          <w14:ligatures w14:val="none"/>
        </w:rPr>
        <w:t>, 4 July 1976.</w:t>
      </w:r>
    </w:p>
    <w:p w14:paraId="343BE463"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78B58B12"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Peggy Jo Cobb Braswell, </w:t>
      </w:r>
      <w:r w:rsidRPr="00E27DAE">
        <w:rPr>
          <w:rFonts w:eastAsia="Times New Roman"/>
          <w:i/>
          <w:iCs/>
          <w:kern w:val="0"/>
          <w:szCs w:val="28"/>
          <w:lang w:bidi="en-US"/>
          <w14:ligatures w14:val="none"/>
        </w:rPr>
        <w:t>The Roanoke Canal: A History of the Old Navigation and Water Power Canal of Halifax County, North Carolina</w:t>
      </w:r>
      <w:r w:rsidRPr="00E27DAE">
        <w:rPr>
          <w:rFonts w:eastAsia="Times New Roman"/>
          <w:kern w:val="0"/>
          <w:szCs w:val="28"/>
          <w:lang w:bidi="en-US"/>
          <w14:ligatures w14:val="none"/>
        </w:rPr>
        <w:t xml:space="preserve"> (Roanoke Rapids, NC: The Roanoke Canal Commission, Inc., 1987).</w:t>
      </w:r>
    </w:p>
    <w:p w14:paraId="67A51AF6"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4083F16" w14:textId="77777777" w:rsidR="00E27DAE" w:rsidRPr="00E27DAE" w:rsidRDefault="00E27DAE" w:rsidP="00E27DAE">
      <w:pPr>
        <w:spacing w:after="0" w:line="240" w:lineRule="auto"/>
        <w:contextualSpacing/>
        <w:rPr>
          <w:rFonts w:eastAsia="Cambria"/>
          <w:kern w:val="0"/>
          <w14:ligatures w14:val="none"/>
        </w:rPr>
      </w:pPr>
      <w:r w:rsidRPr="00E27DAE">
        <w:rPr>
          <w:rFonts w:eastAsia="Cambria"/>
          <w:kern w:val="0"/>
          <w14:ligatures w14:val="none"/>
        </w:rPr>
        <w:t xml:space="preserve">Robert S. Smith, “Mill on the Dan: Riverside Cotton Mills, 1882-1901,” </w:t>
      </w:r>
      <w:r w:rsidRPr="00E27DAE">
        <w:rPr>
          <w:rFonts w:eastAsia="Cambria"/>
          <w:i/>
          <w:iCs/>
          <w:kern w:val="0"/>
          <w14:ligatures w14:val="none"/>
        </w:rPr>
        <w:t>Journal of Southern History</w:t>
      </w:r>
      <w:r w:rsidRPr="00E27DAE">
        <w:rPr>
          <w:rFonts w:eastAsia="Cambria"/>
          <w:kern w:val="0"/>
          <w14:ligatures w14:val="none"/>
        </w:rPr>
        <w:t>, vol. 21, no. 1 (Feb. 1955): 38-66.</w:t>
      </w:r>
    </w:p>
    <w:p w14:paraId="0B69022B" w14:textId="77777777" w:rsidR="00E27DAE" w:rsidRPr="00E27DAE" w:rsidRDefault="00E27DAE" w:rsidP="00E27DAE">
      <w:pPr>
        <w:spacing w:after="0" w:line="240" w:lineRule="auto"/>
        <w:contextualSpacing/>
        <w:rPr>
          <w:rFonts w:eastAsia="Cambria"/>
          <w:kern w:val="0"/>
          <w14:ligatures w14:val="none"/>
        </w:rPr>
      </w:pPr>
    </w:p>
    <w:p w14:paraId="5684D08F" w14:textId="77777777" w:rsidR="00E27DAE" w:rsidRPr="00E27DAE" w:rsidRDefault="00E27DAE" w:rsidP="00E27DAE">
      <w:pPr>
        <w:spacing w:after="0" w:line="240" w:lineRule="auto"/>
        <w:contextualSpacing/>
        <w:rPr>
          <w:rFonts w:eastAsia="Cambria"/>
          <w:kern w:val="0"/>
          <w14:ligatures w14:val="none"/>
        </w:rPr>
      </w:pPr>
    </w:p>
    <w:p w14:paraId="4041ECD8" w14:textId="77777777" w:rsidR="00E27DAE" w:rsidRPr="00E27DAE" w:rsidRDefault="00E27DAE" w:rsidP="00E27DAE">
      <w:pPr>
        <w:spacing w:after="200" w:line="276" w:lineRule="auto"/>
        <w:rPr>
          <w:rFonts w:eastAsia="Times New Roman"/>
          <w:b/>
          <w:kern w:val="0"/>
          <w:lang w:bidi="en-US"/>
          <w14:ligatures w14:val="none"/>
        </w:rPr>
      </w:pPr>
      <w:bookmarkStart w:id="2" w:name="_Hlk198714597"/>
      <w:r w:rsidRPr="00E27DAE">
        <w:rPr>
          <w:rFonts w:eastAsia="Times New Roman"/>
          <w:b/>
          <w:kern w:val="0"/>
          <w:lang w:bidi="en-US"/>
          <w14:ligatures w14:val="none"/>
        </w:rPr>
        <w:t>3.) Antioch (Rosenwald) School</w:t>
      </w:r>
      <w:bookmarkEnd w:id="2"/>
    </w:p>
    <w:p w14:paraId="3C27EDB7"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Antioch Baptist Church</w:t>
      </w:r>
    </w:p>
    <w:p w14:paraId="62D757C0"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Mathews County</w:t>
      </w:r>
    </w:p>
    <w:p w14:paraId="7A4E4B85"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183 Antioch Road, Susan, VA</w:t>
      </w:r>
    </w:p>
    <w:p w14:paraId="28B4274D"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lastRenderedPageBreak/>
        <w:t>Sponsor Contact</w:t>
      </w:r>
      <w:r w:rsidRPr="00E27DAE">
        <w:rPr>
          <w:rFonts w:eastAsia="Times New Roman"/>
          <w:kern w:val="0"/>
          <w:lang w:bidi="en-US"/>
          <w14:ligatures w14:val="none"/>
        </w:rPr>
        <w:t xml:space="preserve">: V. Cilento Johnson, </w:t>
      </w:r>
      <w:hyperlink r:id="rId7" w:history="1">
        <w:r w:rsidRPr="00E27DAE">
          <w:rPr>
            <w:rFonts w:eastAsia="Times New Roman"/>
            <w:color w:val="0000FF"/>
            <w:kern w:val="0"/>
            <w:u w:val="single"/>
            <w:lang w:bidi="en-US"/>
            <w14:ligatures w14:val="none"/>
          </w:rPr>
          <w:t>vcilentojohnson@comcast.net</w:t>
        </w:r>
      </w:hyperlink>
      <w:r w:rsidRPr="00E27DAE">
        <w:rPr>
          <w:rFonts w:eastAsia="Times New Roman"/>
          <w:kern w:val="0"/>
          <w:lang w:bidi="en-US"/>
          <w14:ligatures w14:val="none"/>
        </w:rPr>
        <w:t xml:space="preserve"> </w:t>
      </w:r>
    </w:p>
    <w:p w14:paraId="225483B9" w14:textId="77777777" w:rsidR="00E27DAE" w:rsidRPr="00E27DAE" w:rsidRDefault="00E27DAE" w:rsidP="00E27DAE">
      <w:pPr>
        <w:spacing w:after="0" w:line="240" w:lineRule="auto"/>
        <w:contextualSpacing/>
        <w:rPr>
          <w:rFonts w:eastAsia="Times New Roman"/>
          <w:kern w:val="0"/>
          <w:lang w:bidi="en-US"/>
          <w14:ligatures w14:val="none"/>
        </w:rPr>
      </w:pPr>
    </w:p>
    <w:p w14:paraId="1F4E2660"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1423065F" w14:textId="77777777" w:rsidR="00E27DAE" w:rsidRPr="00E27DAE" w:rsidRDefault="00E27DAE" w:rsidP="00E27DAE">
      <w:pPr>
        <w:spacing w:after="0" w:line="240" w:lineRule="auto"/>
        <w:rPr>
          <w:rFonts w:eastAsia="Times New Roman"/>
          <w:kern w:val="0"/>
          <w:lang w:bidi="en-US"/>
          <w14:ligatures w14:val="none"/>
        </w:rPr>
      </w:pPr>
    </w:p>
    <w:p w14:paraId="1EB827A8"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Antioch (Rosenwald) School</w:t>
      </w:r>
    </w:p>
    <w:p w14:paraId="19D613E7"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44C63D6A"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kern w:val="0"/>
          <w:lang w:bidi="en-US"/>
          <w14:ligatures w14:val="none"/>
        </w:rPr>
        <w:t xml:space="preserve">In 1869, African American women of the Susan community saw the need for a school and urged the African American men to build a log cabin that served the community as school and church. In 1926, this school was one of three schools built in Mathews County with donations from the Julius Rosenwald Fund. </w:t>
      </w:r>
      <w:bookmarkStart w:id="3" w:name="_Hlk199937494"/>
      <w:r w:rsidRPr="00E27DAE">
        <w:rPr>
          <w:rFonts w:eastAsia="Times New Roman"/>
          <w:kern w:val="0"/>
          <w:lang w:bidi="en-US"/>
          <w14:ligatures w14:val="none"/>
        </w:rPr>
        <w:t>This fund, established by the president of Sears, Roebuck, and Co., and inspired by the work of Booker T. Washington helped build more than 5,000 schools and supporting structures for African American students between 1917 and 1932.</w:t>
      </w:r>
      <w:bookmarkEnd w:id="3"/>
      <w:r w:rsidRPr="00E27DAE">
        <w:rPr>
          <w:rFonts w:eastAsia="Times New Roman"/>
          <w:kern w:val="0"/>
          <w:lang w:bidi="en-US"/>
          <w14:ligatures w14:val="none"/>
        </w:rPr>
        <w:t xml:space="preserve"> Donations for the school came mostly from the African American community, with additional funds from the public. Named Antioch after the Antioch Baptist Church, the school held classes for grades one through seven and was the site for various educational and social events for African Americans in the Susan community and the county. The school was closed at the end of the 1947-1948 school year and is the only remaining Rosenwald-style school building in the county.</w:t>
      </w:r>
    </w:p>
    <w:p w14:paraId="042EE3B4" w14:textId="77777777" w:rsidR="00E27DAE" w:rsidRPr="00E27DAE" w:rsidRDefault="00E27DAE" w:rsidP="00E27DAE">
      <w:pPr>
        <w:spacing w:after="0" w:line="240" w:lineRule="auto"/>
        <w:contextualSpacing/>
        <w:rPr>
          <w:rFonts w:eastAsia="Times New Roman"/>
          <w:kern w:val="0"/>
          <w:lang w:bidi="en-US"/>
          <w14:ligatures w14:val="none"/>
        </w:rPr>
      </w:pPr>
    </w:p>
    <w:p w14:paraId="15E21BDA"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167 words/ 1,003 characters</w:t>
      </w:r>
    </w:p>
    <w:p w14:paraId="1E533B29" w14:textId="77777777" w:rsidR="00E27DAE" w:rsidRPr="00E27DAE" w:rsidRDefault="00E27DAE" w:rsidP="00E27DAE">
      <w:pPr>
        <w:spacing w:after="0" w:line="240" w:lineRule="auto"/>
        <w:contextualSpacing/>
        <w:rPr>
          <w:rFonts w:eastAsia="Times New Roman"/>
          <w:b/>
          <w:kern w:val="0"/>
          <w:lang w:bidi="en-US"/>
          <w14:ligatures w14:val="none"/>
        </w:rPr>
      </w:pPr>
    </w:p>
    <w:p w14:paraId="7A1159E0" w14:textId="77777777" w:rsidR="00E27DAE" w:rsidRPr="00E27DAE" w:rsidRDefault="00E27DAE" w:rsidP="00E27DAE">
      <w:pPr>
        <w:spacing w:after="0" w:line="240" w:lineRule="auto"/>
        <w:rPr>
          <w:rFonts w:eastAsia="Times New Roman"/>
          <w:b/>
          <w:kern w:val="0"/>
          <w:szCs w:val="28"/>
          <w:lang w:bidi="en-US"/>
          <w14:ligatures w14:val="none"/>
        </w:rPr>
      </w:pPr>
    </w:p>
    <w:p w14:paraId="06B1D93E"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6FE7E488" w14:textId="77777777" w:rsidR="00E27DAE" w:rsidRPr="00E27DAE" w:rsidRDefault="00E27DAE" w:rsidP="00E27DAE">
      <w:pPr>
        <w:spacing w:after="0" w:line="240" w:lineRule="auto"/>
        <w:rPr>
          <w:rFonts w:eastAsia="Times New Roman"/>
          <w:b/>
          <w:kern w:val="0"/>
          <w:szCs w:val="28"/>
          <w:lang w:bidi="en-US"/>
          <w14:ligatures w14:val="none"/>
        </w:rPr>
      </w:pPr>
    </w:p>
    <w:p w14:paraId="2E371A69"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Antioch (Rosenwald) School</w:t>
      </w:r>
    </w:p>
    <w:p w14:paraId="12FD024B" w14:textId="77777777" w:rsidR="00E27DAE" w:rsidRPr="00E27DAE" w:rsidRDefault="00E27DAE" w:rsidP="00E27DAE">
      <w:pPr>
        <w:spacing w:after="0" w:line="240" w:lineRule="auto"/>
        <w:jc w:val="both"/>
        <w:rPr>
          <w:rFonts w:eastAsia="Times New Roman"/>
          <w:kern w:val="0"/>
          <w:lang w:bidi="en-US"/>
          <w14:ligatures w14:val="none"/>
        </w:rPr>
      </w:pPr>
    </w:p>
    <w:p w14:paraId="0F4DAA0D" w14:textId="13021F85"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t xml:space="preserve">At the urging of African American women in the Susan community, African American men built a log school ca. 1869. Antioch Baptist Church met there in its early years. In 1926-27, a new school was built here </w:t>
      </w:r>
      <w:r w:rsidR="00971585">
        <w:rPr>
          <w:rFonts w:eastAsia="Times New Roman"/>
          <w:kern w:val="0"/>
          <w:lang w:bidi="en-US"/>
          <w14:ligatures w14:val="none"/>
        </w:rPr>
        <w:t>for</w:t>
      </w:r>
      <w:r w:rsidRPr="00E27DAE">
        <w:rPr>
          <w:rFonts w:eastAsia="Times New Roman"/>
          <w:kern w:val="0"/>
          <w:lang w:bidi="en-US"/>
          <w14:ligatures w14:val="none"/>
        </w:rPr>
        <w:t xml:space="preserve"> grades one through seven. Contributions came from the Black community ($3,700), the county ($500), and the </w:t>
      </w:r>
      <w:r w:rsidR="00971585">
        <w:rPr>
          <w:rFonts w:eastAsia="Times New Roman"/>
          <w:kern w:val="0"/>
          <w:lang w:bidi="en-US"/>
          <w14:ligatures w14:val="none"/>
        </w:rPr>
        <w:t xml:space="preserve">Julius </w:t>
      </w:r>
      <w:r w:rsidRPr="00E27DAE">
        <w:rPr>
          <w:rFonts w:eastAsia="Times New Roman"/>
          <w:kern w:val="0"/>
          <w:lang w:bidi="en-US"/>
          <w14:ligatures w14:val="none"/>
        </w:rPr>
        <w:t>Rosenwald Fund ($700), established in 1917 by the president of Sears, Roebuck, and Co. and inspired by the work of Booker T. Washington. Rosenwald funding helped build about 5,000 schools for Black students, including three in Mathews Co. Antioch School, a community hub of social and cultural activity, closed in 1948 and is the county’s only remaining Rosenwald-style building.</w:t>
      </w:r>
    </w:p>
    <w:p w14:paraId="31816E0B" w14:textId="77777777" w:rsidR="00E27DAE" w:rsidRPr="00E27DAE" w:rsidRDefault="00E27DAE" w:rsidP="00E27DAE">
      <w:pPr>
        <w:spacing w:after="0" w:line="240" w:lineRule="auto"/>
        <w:jc w:val="both"/>
        <w:rPr>
          <w:rFonts w:eastAsia="Times New Roman"/>
          <w:kern w:val="0"/>
          <w:lang w:bidi="en-US"/>
          <w14:ligatures w14:val="none"/>
        </w:rPr>
      </w:pPr>
    </w:p>
    <w:p w14:paraId="4D67741C" w14:textId="5B60FEFF"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114 words/ 70</w:t>
      </w:r>
      <w:r w:rsidR="00971585">
        <w:rPr>
          <w:rFonts w:eastAsia="Times New Roman"/>
          <w:b/>
          <w:kern w:val="0"/>
          <w:szCs w:val="28"/>
          <w:lang w:bidi="en-US"/>
          <w14:ligatures w14:val="none"/>
        </w:rPr>
        <w:t>4</w:t>
      </w:r>
      <w:r w:rsidRPr="00E27DAE">
        <w:rPr>
          <w:rFonts w:eastAsia="Times New Roman"/>
          <w:b/>
          <w:kern w:val="0"/>
          <w:szCs w:val="28"/>
          <w:lang w:bidi="en-US"/>
          <w14:ligatures w14:val="none"/>
        </w:rPr>
        <w:t xml:space="preserve"> characters</w:t>
      </w:r>
    </w:p>
    <w:p w14:paraId="14DE4764" w14:textId="77777777" w:rsidR="00E27DAE" w:rsidRPr="00E27DAE" w:rsidRDefault="00E27DAE" w:rsidP="00E27DAE">
      <w:pPr>
        <w:spacing w:after="0" w:line="240" w:lineRule="auto"/>
        <w:jc w:val="both"/>
        <w:rPr>
          <w:rFonts w:eastAsia="Times New Roman"/>
          <w:kern w:val="0"/>
          <w:lang w:bidi="en-US"/>
          <w14:ligatures w14:val="none"/>
        </w:rPr>
      </w:pPr>
    </w:p>
    <w:p w14:paraId="2E658C6A" w14:textId="77777777" w:rsidR="00E27DAE" w:rsidRPr="00E27DAE" w:rsidRDefault="00E27DAE" w:rsidP="00E27DAE">
      <w:pPr>
        <w:spacing w:after="0" w:line="240" w:lineRule="auto"/>
        <w:rPr>
          <w:rFonts w:eastAsia="Times New Roman"/>
          <w:kern w:val="0"/>
          <w:szCs w:val="28"/>
          <w:lang w:bidi="en-US"/>
          <w14:ligatures w14:val="none"/>
        </w:rPr>
      </w:pPr>
    </w:p>
    <w:p w14:paraId="08C8841F"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0F8142ED"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CF13145"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Gloucester Mathews Gazette-Journal</w:t>
      </w:r>
      <w:r w:rsidRPr="00E27DAE">
        <w:rPr>
          <w:rFonts w:eastAsia="Times New Roman"/>
          <w:kern w:val="0"/>
          <w:szCs w:val="28"/>
          <w:lang w:bidi="en-US"/>
          <w14:ligatures w14:val="none"/>
        </w:rPr>
        <w:t>, 15 Dec. 1938, 19 Aug. 1948.</w:t>
      </w:r>
    </w:p>
    <w:p w14:paraId="7BFC2697"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36158E2"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Gloucester Letter</w:t>
      </w:r>
      <w:r w:rsidRPr="00E27DAE">
        <w:rPr>
          <w:rFonts w:eastAsia="Times New Roman"/>
          <w:kern w:val="0"/>
          <w:szCs w:val="28"/>
          <w:lang w:bidi="en-US"/>
          <w14:ligatures w14:val="none"/>
        </w:rPr>
        <w:t>, 1 Aug. 1893.</w:t>
      </w:r>
    </w:p>
    <w:p w14:paraId="189B8A7B"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21C42E3"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Norfolk Journal and Guide</w:t>
      </w:r>
      <w:r w:rsidRPr="00E27DAE">
        <w:rPr>
          <w:rFonts w:eastAsia="Times New Roman"/>
          <w:kern w:val="0"/>
          <w:szCs w:val="28"/>
          <w:lang w:bidi="en-US"/>
          <w14:ligatures w14:val="none"/>
        </w:rPr>
        <w:t>, 2 May 1925.</w:t>
      </w:r>
    </w:p>
    <w:p w14:paraId="313ECCC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1424DEC"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Fisk University Rosenwald Database.</w:t>
      </w:r>
    </w:p>
    <w:p w14:paraId="77B444F3"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9C625E5"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Rosenwald Schools in Virginia Multiple Property Document (2004).</w:t>
      </w:r>
    </w:p>
    <w:p w14:paraId="21A8B9B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0E8FD5D"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“History of Antioch Baptist Church School, Susan, Virginia,” (typescript, 2016).</w:t>
      </w:r>
      <w:r w:rsidRPr="00E27DAE">
        <w:rPr>
          <w:rFonts w:eastAsia="Times New Roman"/>
          <w:kern w:val="0"/>
          <w:szCs w:val="28"/>
          <w:lang w:bidi="en-US"/>
          <w14:ligatures w14:val="none"/>
        </w:rPr>
        <w:br/>
      </w:r>
    </w:p>
    <w:p w14:paraId="654CC3DB" w14:textId="77777777" w:rsidR="00E27DAE" w:rsidRPr="00E27DAE" w:rsidRDefault="00E27DAE" w:rsidP="00E27DAE">
      <w:pPr>
        <w:spacing w:after="0" w:line="240" w:lineRule="auto"/>
        <w:contextualSpacing/>
        <w:rPr>
          <w:rFonts w:eastAsia="Cambria"/>
          <w:kern w:val="0"/>
          <w14:ligatures w14:val="none"/>
        </w:rPr>
      </w:pPr>
    </w:p>
    <w:p w14:paraId="4D02980D"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4.) Dr. Elbyrne Grady Gill (1891-1966)</w:t>
      </w:r>
    </w:p>
    <w:p w14:paraId="77900F59"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Nelson Harris</w:t>
      </w:r>
    </w:p>
    <w:p w14:paraId="6CA9C75C"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City of Roanoke</w:t>
      </w:r>
    </w:p>
    <w:p w14:paraId="48520257"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700 block of South Jefferson Street</w:t>
      </w:r>
    </w:p>
    <w:p w14:paraId="0D30AF6E"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 Contact</w:t>
      </w:r>
      <w:r w:rsidRPr="00E27DAE">
        <w:rPr>
          <w:rFonts w:eastAsia="Times New Roman"/>
          <w:kern w:val="0"/>
          <w:lang w:bidi="en-US"/>
          <w14:ligatures w14:val="none"/>
        </w:rPr>
        <w:t xml:space="preserve">: Nelson Harris, </w:t>
      </w:r>
      <w:hyperlink r:id="rId8" w:history="1">
        <w:r w:rsidRPr="00E27DAE">
          <w:rPr>
            <w:rFonts w:eastAsia="Times New Roman"/>
            <w:color w:val="0000FF"/>
            <w:kern w:val="0"/>
            <w:u w:val="single"/>
            <w:lang w:bidi="en-US"/>
            <w14:ligatures w14:val="none"/>
          </w:rPr>
          <w:t>nharris@heightschurch.info</w:t>
        </w:r>
      </w:hyperlink>
      <w:r w:rsidRPr="00E27DAE">
        <w:rPr>
          <w:rFonts w:eastAsia="Times New Roman"/>
          <w:kern w:val="0"/>
          <w:lang w:bidi="en-US"/>
          <w14:ligatures w14:val="none"/>
        </w:rPr>
        <w:t xml:space="preserve"> </w:t>
      </w:r>
    </w:p>
    <w:p w14:paraId="1FC6D10D" w14:textId="77777777" w:rsidR="00E27DAE" w:rsidRPr="00E27DAE" w:rsidRDefault="00E27DAE" w:rsidP="00E27DAE">
      <w:pPr>
        <w:spacing w:after="0" w:line="240" w:lineRule="auto"/>
        <w:contextualSpacing/>
        <w:rPr>
          <w:rFonts w:eastAsia="Times New Roman"/>
          <w:kern w:val="0"/>
          <w:lang w:bidi="en-US"/>
          <w14:ligatures w14:val="none"/>
        </w:rPr>
      </w:pPr>
    </w:p>
    <w:p w14:paraId="294E9B24"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47A28F7E" w14:textId="77777777" w:rsidR="00E27DAE" w:rsidRPr="00E27DAE" w:rsidRDefault="00E27DAE" w:rsidP="00E27DAE">
      <w:pPr>
        <w:spacing w:after="0" w:line="240" w:lineRule="auto"/>
        <w:rPr>
          <w:rFonts w:eastAsia="Times New Roman"/>
          <w:kern w:val="0"/>
          <w:lang w:bidi="en-US"/>
          <w14:ligatures w14:val="none"/>
        </w:rPr>
      </w:pPr>
    </w:p>
    <w:p w14:paraId="42679F54"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Dr. Elbyrne Grady Gill (1891-1966)</w:t>
      </w:r>
    </w:p>
    <w:p w14:paraId="1C582918"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7D2D2D72" w14:textId="77777777" w:rsidR="00E27DAE" w:rsidRPr="00E27DAE" w:rsidRDefault="00E27DAE" w:rsidP="00E27DAE">
      <w:pPr>
        <w:spacing w:after="0" w:line="240" w:lineRule="auto"/>
        <w:contextualSpacing/>
        <w:rPr>
          <w:rFonts w:eastAsia="Times New Roman"/>
          <w:kern w:val="0"/>
          <w:lang w:bidi="en-US"/>
          <w14:ligatures w14:val="none"/>
        </w:rPr>
      </w:pPr>
      <w:bookmarkStart w:id="4" w:name="_Hlk198728701"/>
      <w:r w:rsidRPr="00E27DAE">
        <w:rPr>
          <w:rFonts w:eastAsia="Times New Roman"/>
          <w:kern w:val="0"/>
          <w:lang w:bidi="en-US"/>
          <w14:ligatures w14:val="none"/>
        </w:rPr>
        <w:t>Dr. Elbyrne Grady Gill, a native of Bedford County, Virginia, founded the Gill Memorial Ear, Eye, Nose and Throat Hospital in this block of Jefferson Street in 1926, believed to be the first such specialty hospital in the state. Through the hospital, Gill hosted annual spring congresses for physicians attracting specialists from across the US with renowned faculty, some of whom were Nobel laureates. These conferences offered the first post-graduate courses for ophthalmologists and otolaryngologists in the US. A charter member of the Roanoke Lions Club, Gill served a term as president of Lions International in 1943-44. In 1957, Gill established the first eye bank in Va. Gill was a leader in Roanoke's civic life, chairing the local board of health for 25 years.</w:t>
      </w:r>
      <w:bookmarkEnd w:id="4"/>
    </w:p>
    <w:p w14:paraId="4935634D" w14:textId="77777777" w:rsidR="00E27DAE" w:rsidRPr="00E27DAE" w:rsidRDefault="00E27DAE" w:rsidP="00E27DAE">
      <w:pPr>
        <w:spacing w:after="0" w:line="240" w:lineRule="auto"/>
        <w:contextualSpacing/>
        <w:rPr>
          <w:rFonts w:eastAsia="Times New Roman"/>
          <w:kern w:val="0"/>
          <w:lang w:bidi="en-US"/>
          <w14:ligatures w14:val="none"/>
        </w:rPr>
      </w:pPr>
    </w:p>
    <w:p w14:paraId="202F689A"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124 words/ 769 characters</w:t>
      </w:r>
    </w:p>
    <w:p w14:paraId="55CC9770" w14:textId="77777777" w:rsidR="00E27DAE" w:rsidRPr="00E27DAE" w:rsidRDefault="00E27DAE" w:rsidP="00E27DAE">
      <w:pPr>
        <w:spacing w:after="0" w:line="240" w:lineRule="auto"/>
        <w:contextualSpacing/>
        <w:rPr>
          <w:rFonts w:eastAsia="Times New Roman"/>
          <w:b/>
          <w:kern w:val="0"/>
          <w:lang w:bidi="en-US"/>
          <w14:ligatures w14:val="none"/>
        </w:rPr>
      </w:pPr>
    </w:p>
    <w:p w14:paraId="24DA8612" w14:textId="77777777" w:rsidR="00E27DAE" w:rsidRPr="00E27DAE" w:rsidRDefault="00E27DAE" w:rsidP="00E27DAE">
      <w:pPr>
        <w:spacing w:after="0" w:line="240" w:lineRule="auto"/>
        <w:rPr>
          <w:rFonts w:eastAsia="Times New Roman"/>
          <w:b/>
          <w:kern w:val="0"/>
          <w:szCs w:val="28"/>
          <w:lang w:bidi="en-US"/>
          <w14:ligatures w14:val="none"/>
        </w:rPr>
      </w:pPr>
    </w:p>
    <w:p w14:paraId="6E5626F8"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7A21EE67" w14:textId="77777777" w:rsidR="00E27DAE" w:rsidRPr="00E27DAE" w:rsidRDefault="00E27DAE" w:rsidP="00E27DAE">
      <w:pPr>
        <w:spacing w:after="0" w:line="240" w:lineRule="auto"/>
        <w:rPr>
          <w:rFonts w:eastAsia="Times New Roman"/>
          <w:b/>
          <w:kern w:val="0"/>
          <w:szCs w:val="28"/>
          <w:lang w:bidi="en-US"/>
          <w14:ligatures w14:val="none"/>
        </w:rPr>
      </w:pPr>
    </w:p>
    <w:p w14:paraId="02C3DE6E"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Dr. Elbyrne Grady Gill (1891-1966)</w:t>
      </w:r>
    </w:p>
    <w:p w14:paraId="2F38E2ED" w14:textId="77777777" w:rsidR="00E27DAE" w:rsidRPr="00E27DAE" w:rsidRDefault="00E27DAE" w:rsidP="00E27DAE">
      <w:pPr>
        <w:spacing w:after="0" w:line="240" w:lineRule="auto"/>
        <w:jc w:val="both"/>
        <w:rPr>
          <w:rFonts w:eastAsia="Times New Roman"/>
          <w:kern w:val="0"/>
          <w:lang w:bidi="en-US"/>
          <w14:ligatures w14:val="none"/>
        </w:rPr>
      </w:pPr>
    </w:p>
    <w:p w14:paraId="34666416" w14:textId="537FED2F" w:rsidR="00E27DAE" w:rsidRPr="00E27DAE" w:rsidRDefault="00E27DAE" w:rsidP="00E27DAE">
      <w:pPr>
        <w:spacing w:after="0" w:line="240" w:lineRule="auto"/>
        <w:jc w:val="both"/>
        <w:rPr>
          <w:rFonts w:eastAsia="Times New Roman"/>
          <w:kern w:val="0"/>
          <w:lang w:bidi="en-US"/>
          <w14:ligatures w14:val="none"/>
        </w:rPr>
      </w:pPr>
      <w:bookmarkStart w:id="5" w:name="_Hlk198821485"/>
      <w:r w:rsidRPr="00E27DAE">
        <w:rPr>
          <w:rFonts w:eastAsia="Times New Roman"/>
          <w:kern w:val="0"/>
          <w:lang w:bidi="en-US"/>
          <w14:ligatures w14:val="none"/>
        </w:rPr>
        <w:t>Dr. Elbyrne G. Gill, a native of Bedford County, opened the Gill Memorial Eye, Ear and Throat Hospital in this block in 1926. Through the hospital, one of the first of its specialty in VA, Gill hosted annual congresses that offered postgraduate courses for eye, ear, nose, and throat specialists. By featuring renowned faculty, including current and future Nobel laureates, these conferences attracted physicians from across the U.S. Gill, a charter member of the Roanoke Lions Club, served a term as president of Lions International in 1943-44. In 1957, he opened the first eye bank in western VA. A leader in Roanoke's civic life, Gill chaired the local board of health for 25 years.</w:t>
      </w:r>
    </w:p>
    <w:bookmarkEnd w:id="5"/>
    <w:p w14:paraId="571A5D22" w14:textId="77777777" w:rsidR="00E27DAE" w:rsidRPr="00E27DAE" w:rsidRDefault="00E27DAE" w:rsidP="00E27DAE">
      <w:pPr>
        <w:spacing w:after="0" w:line="240" w:lineRule="auto"/>
        <w:jc w:val="both"/>
        <w:rPr>
          <w:rFonts w:eastAsia="Times New Roman"/>
          <w:kern w:val="0"/>
          <w:lang w:bidi="en-US"/>
          <w14:ligatures w14:val="none"/>
        </w:rPr>
      </w:pPr>
    </w:p>
    <w:p w14:paraId="2973C396" w14:textId="3A6C6304"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114 words/ 68</w:t>
      </w:r>
      <w:r w:rsidR="00971585">
        <w:rPr>
          <w:rFonts w:eastAsia="Times New Roman"/>
          <w:b/>
          <w:kern w:val="0"/>
          <w:szCs w:val="28"/>
          <w:lang w:bidi="en-US"/>
          <w14:ligatures w14:val="none"/>
        </w:rPr>
        <w:t>5</w:t>
      </w:r>
      <w:r w:rsidRPr="00E27DAE">
        <w:rPr>
          <w:rFonts w:eastAsia="Times New Roman"/>
          <w:b/>
          <w:kern w:val="0"/>
          <w:szCs w:val="28"/>
          <w:lang w:bidi="en-US"/>
          <w14:ligatures w14:val="none"/>
        </w:rPr>
        <w:t xml:space="preserve"> characters</w:t>
      </w:r>
    </w:p>
    <w:p w14:paraId="592309FD" w14:textId="77777777" w:rsidR="00E27DAE" w:rsidRPr="00E27DAE" w:rsidRDefault="00E27DAE" w:rsidP="00E27DAE">
      <w:pPr>
        <w:spacing w:after="0" w:line="240" w:lineRule="auto"/>
        <w:jc w:val="both"/>
        <w:rPr>
          <w:rFonts w:eastAsia="Times New Roman"/>
          <w:kern w:val="0"/>
          <w:lang w:bidi="en-US"/>
          <w14:ligatures w14:val="none"/>
        </w:rPr>
      </w:pPr>
    </w:p>
    <w:p w14:paraId="3043071A" w14:textId="77777777" w:rsidR="00E27DAE" w:rsidRPr="00E27DAE" w:rsidRDefault="00E27DAE" w:rsidP="00E27DAE">
      <w:pPr>
        <w:spacing w:after="0" w:line="240" w:lineRule="auto"/>
        <w:rPr>
          <w:rFonts w:eastAsia="Times New Roman"/>
          <w:kern w:val="0"/>
          <w:szCs w:val="28"/>
          <w:lang w:bidi="en-US"/>
          <w14:ligatures w14:val="none"/>
        </w:rPr>
      </w:pPr>
    </w:p>
    <w:p w14:paraId="16744245"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051F1208"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40382E4"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“Past President Gill Dies,” </w:t>
      </w:r>
      <w:r w:rsidRPr="00E27DAE">
        <w:rPr>
          <w:rFonts w:eastAsia="Times New Roman"/>
          <w:i/>
          <w:iCs/>
          <w:kern w:val="0"/>
          <w:szCs w:val="28"/>
          <w:lang w:bidi="en-US"/>
          <w14:ligatures w14:val="none"/>
        </w:rPr>
        <w:t>The Lion</w:t>
      </w:r>
      <w:r w:rsidRPr="00E27DAE">
        <w:rPr>
          <w:rFonts w:eastAsia="Times New Roman"/>
          <w:kern w:val="0"/>
          <w:szCs w:val="28"/>
          <w:lang w:bidi="en-US"/>
          <w14:ligatures w14:val="none"/>
        </w:rPr>
        <w:t>, Jan. 1967.</w:t>
      </w:r>
    </w:p>
    <w:p w14:paraId="65C1315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F8E4ED0"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Roanoke Times</w:t>
      </w:r>
      <w:r w:rsidRPr="00E27DAE">
        <w:rPr>
          <w:rFonts w:eastAsia="Times New Roman"/>
          <w:kern w:val="0"/>
          <w:szCs w:val="28"/>
          <w:lang w:bidi="en-US"/>
          <w14:ligatures w14:val="none"/>
        </w:rPr>
        <w:t>, 1, 3 Oct. 1966, 19 June 1996.</w:t>
      </w:r>
    </w:p>
    <w:p w14:paraId="51725F9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BCA48D9"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Roanoke World-News</w:t>
      </w:r>
      <w:r w:rsidRPr="00E27DAE">
        <w:rPr>
          <w:rFonts w:eastAsia="Times New Roman"/>
          <w:kern w:val="0"/>
          <w:szCs w:val="28"/>
          <w:lang w:bidi="en-US"/>
          <w14:ligatures w14:val="none"/>
        </w:rPr>
        <w:t>, 3, 4 Oct. 1966.</w:t>
      </w:r>
    </w:p>
    <w:p w14:paraId="0A5985A0"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76807F8"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“Virginians in the Public Eye,” </w:t>
      </w:r>
      <w:r w:rsidRPr="00E27DAE">
        <w:rPr>
          <w:rFonts w:eastAsia="Times New Roman"/>
          <w:i/>
          <w:iCs/>
          <w:kern w:val="0"/>
          <w:szCs w:val="28"/>
          <w:lang w:bidi="en-US"/>
          <w14:ligatures w14:val="none"/>
        </w:rPr>
        <w:t>The Commonwealth</w:t>
      </w:r>
      <w:r w:rsidRPr="00E27DAE">
        <w:rPr>
          <w:rFonts w:eastAsia="Times New Roman"/>
          <w:kern w:val="0"/>
          <w:szCs w:val="28"/>
          <w:lang w:bidi="en-US"/>
          <w14:ligatures w14:val="none"/>
        </w:rPr>
        <w:t>, Jan. 1944.</w:t>
      </w:r>
    </w:p>
    <w:p w14:paraId="5D067B73"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CBADA1F"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Virginia Society of Otolaryngology Endowed Lectureship: </w:t>
      </w:r>
      <w:hyperlink r:id="rId9" w:history="1">
        <w:r w:rsidRPr="00E27DAE">
          <w:rPr>
            <w:rFonts w:eastAsia="Times New Roman"/>
            <w:color w:val="0000FF"/>
            <w:kern w:val="0"/>
            <w:szCs w:val="28"/>
            <w:u w:val="single"/>
            <w:lang w:bidi="en-US"/>
            <w14:ligatures w14:val="none"/>
          </w:rPr>
          <w:t>https://vso-hns.org/endowed-lectureship</w:t>
        </w:r>
      </w:hyperlink>
    </w:p>
    <w:p w14:paraId="074EADF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7074498C"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Nelson Harris, “Roanoke’s Miracle Worker,” </w:t>
      </w:r>
      <w:r w:rsidRPr="00E27DAE">
        <w:rPr>
          <w:rFonts w:eastAsia="Times New Roman"/>
          <w:i/>
          <w:iCs/>
          <w:kern w:val="0"/>
          <w:szCs w:val="28"/>
          <w:lang w:bidi="en-US"/>
          <w14:ligatures w14:val="none"/>
        </w:rPr>
        <w:t>The Roanoker</w:t>
      </w:r>
      <w:r w:rsidRPr="00E27DAE">
        <w:rPr>
          <w:rFonts w:eastAsia="Times New Roman"/>
          <w:kern w:val="0"/>
          <w:szCs w:val="28"/>
          <w:lang w:bidi="en-US"/>
          <w14:ligatures w14:val="none"/>
        </w:rPr>
        <w:t xml:space="preserve"> (May/June 2025).</w:t>
      </w:r>
    </w:p>
    <w:p w14:paraId="38366CE1"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AFBD8AB"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AB3E54C"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5.) Blue Ridge Parkway</w:t>
      </w:r>
    </w:p>
    <w:p w14:paraId="727071E4"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American Society of Civil Engineers, Virginia Section</w:t>
      </w:r>
    </w:p>
    <w:p w14:paraId="5ECE3D80"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Nelson County</w:t>
      </w:r>
    </w:p>
    <w:p w14:paraId="291A3324"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Rockfish Gap Scenic Overlook, I-64 East</w:t>
      </w:r>
    </w:p>
    <w:p w14:paraId="6D28A52C"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 Contact</w:t>
      </w:r>
      <w:r w:rsidRPr="00E27DAE">
        <w:rPr>
          <w:rFonts w:eastAsia="Times New Roman"/>
          <w:kern w:val="0"/>
          <w:lang w:bidi="en-US"/>
          <w14:ligatures w14:val="none"/>
        </w:rPr>
        <w:t>: Emmett R. Heltzel, emmettheltzel@gmail.com</w:t>
      </w:r>
    </w:p>
    <w:p w14:paraId="4B55728F" w14:textId="77777777" w:rsidR="00E27DAE" w:rsidRPr="00E27DAE" w:rsidRDefault="00E27DAE" w:rsidP="00E27DAE">
      <w:pPr>
        <w:spacing w:after="0" w:line="240" w:lineRule="auto"/>
        <w:contextualSpacing/>
        <w:rPr>
          <w:rFonts w:eastAsia="Times New Roman"/>
          <w:kern w:val="0"/>
          <w:lang w:bidi="en-US"/>
          <w14:ligatures w14:val="none"/>
        </w:rPr>
      </w:pPr>
    </w:p>
    <w:p w14:paraId="2818AF3E"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5607A873" w14:textId="77777777" w:rsidR="00E27DAE" w:rsidRPr="00E27DAE" w:rsidRDefault="00E27DAE" w:rsidP="00E27DAE">
      <w:pPr>
        <w:spacing w:after="0" w:line="240" w:lineRule="auto"/>
        <w:rPr>
          <w:rFonts w:eastAsia="Times New Roman"/>
          <w:kern w:val="0"/>
          <w:lang w:bidi="en-US"/>
          <w14:ligatures w14:val="none"/>
        </w:rPr>
      </w:pPr>
    </w:p>
    <w:p w14:paraId="7ED63630"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The Blue Ridge Parkway</w:t>
      </w:r>
    </w:p>
    <w:p w14:paraId="7AE9DDA6"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78E92036"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kern w:val="0"/>
          <w:lang w:bidi="en-US"/>
          <w14:ligatures w14:val="none"/>
        </w:rPr>
        <w:t>Just west of this marker, at the crest of the Blue Ridge Mountains near Afton, is the northern end of the Blue Ridge Parkway, a National Parkway and an All-American Road. The Parkway is the longest linear park in the United States. It meanders for 469 miles through 29 counties in Virginia and North Carolina and links the Shenandoah National Park in Virginia with the Great Smokey Mountains National Park in North Carolina. It is an example of pre and post-World War II automotive rural parkway design that retains the greatest degree of integrity of any parkway in the United States. It is recognized around the world as an international example of landscape and engineering design achievements with a roadway that lies easily on the land and blends into the surrounding landscape. Although some construction began in 1935, it was not until June 30, 1936, that the U.S. Congress formerly authorized the project to build the Parkway and placed it under the jurisdiction of the National Park Service. The work was carried out under the direction of several different New Deal public works agencies that were established during the Presidency of Franklin Roosevelt. It took 52 years to construct the Parkway, the last segment having been completed in 1987.</w:t>
      </w:r>
    </w:p>
    <w:p w14:paraId="2285C203" w14:textId="77777777" w:rsidR="00E27DAE" w:rsidRPr="00E27DAE" w:rsidRDefault="00E27DAE" w:rsidP="00E27DAE">
      <w:pPr>
        <w:spacing w:after="0" w:line="240" w:lineRule="auto"/>
        <w:contextualSpacing/>
        <w:rPr>
          <w:rFonts w:eastAsia="Times New Roman"/>
          <w:kern w:val="0"/>
          <w:lang w:bidi="en-US"/>
          <w14:ligatures w14:val="none"/>
        </w:rPr>
      </w:pPr>
    </w:p>
    <w:p w14:paraId="0070B374"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209 words/ 1,255 characters</w:t>
      </w:r>
    </w:p>
    <w:p w14:paraId="7EA10BC1" w14:textId="77777777" w:rsidR="00E27DAE" w:rsidRPr="00E27DAE" w:rsidRDefault="00E27DAE" w:rsidP="00E27DAE">
      <w:pPr>
        <w:spacing w:after="0" w:line="240" w:lineRule="auto"/>
        <w:contextualSpacing/>
        <w:rPr>
          <w:rFonts w:eastAsia="Times New Roman"/>
          <w:b/>
          <w:kern w:val="0"/>
          <w:lang w:bidi="en-US"/>
          <w14:ligatures w14:val="none"/>
        </w:rPr>
      </w:pPr>
    </w:p>
    <w:p w14:paraId="034CE82C" w14:textId="77777777" w:rsidR="00E27DAE" w:rsidRPr="00E27DAE" w:rsidRDefault="00E27DAE" w:rsidP="00E27DAE">
      <w:pPr>
        <w:spacing w:after="0" w:line="240" w:lineRule="auto"/>
        <w:rPr>
          <w:rFonts w:eastAsia="Times New Roman"/>
          <w:b/>
          <w:kern w:val="0"/>
          <w:szCs w:val="28"/>
          <w:lang w:bidi="en-US"/>
          <w14:ligatures w14:val="none"/>
        </w:rPr>
      </w:pPr>
    </w:p>
    <w:p w14:paraId="3873A525"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47934905" w14:textId="77777777" w:rsidR="00E27DAE" w:rsidRPr="00E27DAE" w:rsidRDefault="00E27DAE" w:rsidP="00E27DAE">
      <w:pPr>
        <w:spacing w:after="0" w:line="240" w:lineRule="auto"/>
        <w:rPr>
          <w:rFonts w:eastAsia="Times New Roman"/>
          <w:b/>
          <w:kern w:val="0"/>
          <w:szCs w:val="28"/>
          <w:lang w:bidi="en-US"/>
          <w14:ligatures w14:val="none"/>
        </w:rPr>
      </w:pPr>
    </w:p>
    <w:p w14:paraId="786527B8"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Blue Ridge Parkway</w:t>
      </w:r>
    </w:p>
    <w:p w14:paraId="5BB1B50E" w14:textId="77777777" w:rsidR="00E27DAE" w:rsidRPr="00E27DAE" w:rsidRDefault="00E27DAE" w:rsidP="00E27DAE">
      <w:pPr>
        <w:spacing w:after="0" w:line="240" w:lineRule="auto"/>
        <w:jc w:val="both"/>
        <w:rPr>
          <w:rFonts w:eastAsia="Times New Roman"/>
          <w:kern w:val="0"/>
          <w:lang w:bidi="en-US"/>
          <w14:ligatures w14:val="none"/>
        </w:rPr>
      </w:pPr>
    </w:p>
    <w:p w14:paraId="4B7BB3A0" w14:textId="77777777"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t>Just west of here is the northern terminus of the Blue Ridge Parkway, a 469-mile-long scenic route that links Shenandoah National Park in VA with Great Smoky Mountains National Park in NC. An internationally recognized feat of landscape architecture and engineering, the parkway was designed to highlight the scenery and cultural heritage of southern Appalachia and to stimulate the region’s economy during the Great Depression. This project, led by the National Park Service, relied on the collaboration of federal agencies, New Deal public works programs, private contractors, and the governments of NC and VA. Constructed between 1935 and 1987, the parkway is the longest linear park in the U.S.</w:t>
      </w:r>
    </w:p>
    <w:p w14:paraId="63A6DD49" w14:textId="77777777" w:rsidR="00E27DAE" w:rsidRPr="00E27DAE" w:rsidRDefault="00E27DAE" w:rsidP="00E27DAE">
      <w:pPr>
        <w:spacing w:after="0" w:line="240" w:lineRule="auto"/>
        <w:jc w:val="both"/>
        <w:rPr>
          <w:rFonts w:eastAsia="Times New Roman"/>
          <w:kern w:val="0"/>
          <w:lang w:bidi="en-US"/>
          <w14:ligatures w14:val="none"/>
        </w:rPr>
      </w:pPr>
    </w:p>
    <w:p w14:paraId="13842365"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109 words/ 698 characters</w:t>
      </w:r>
    </w:p>
    <w:p w14:paraId="4F4EA66B" w14:textId="77777777" w:rsidR="00E27DAE" w:rsidRPr="00E27DAE" w:rsidRDefault="00E27DAE" w:rsidP="00E27DAE">
      <w:pPr>
        <w:spacing w:after="0" w:line="240" w:lineRule="auto"/>
        <w:jc w:val="both"/>
        <w:rPr>
          <w:rFonts w:eastAsia="Times New Roman"/>
          <w:kern w:val="0"/>
          <w:lang w:bidi="en-US"/>
          <w14:ligatures w14:val="none"/>
        </w:rPr>
      </w:pPr>
    </w:p>
    <w:p w14:paraId="175330B7" w14:textId="77777777" w:rsidR="00E27DAE" w:rsidRPr="00E27DAE" w:rsidRDefault="00E27DAE" w:rsidP="00E27DAE">
      <w:pPr>
        <w:spacing w:after="0" w:line="240" w:lineRule="auto"/>
        <w:rPr>
          <w:rFonts w:eastAsia="Times New Roman"/>
          <w:kern w:val="0"/>
          <w:szCs w:val="28"/>
          <w:lang w:bidi="en-US"/>
          <w14:ligatures w14:val="none"/>
        </w:rPr>
      </w:pPr>
    </w:p>
    <w:p w14:paraId="6D8087C9"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76E629C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76DD5F3A"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Blue Ridge Parkway, HAER Report No. NC-42: </w:t>
      </w:r>
      <w:hyperlink r:id="rId10" w:history="1">
        <w:r w:rsidRPr="00E27DAE">
          <w:rPr>
            <w:rFonts w:eastAsia="Times New Roman"/>
            <w:color w:val="0000FF"/>
            <w:kern w:val="0"/>
            <w:szCs w:val="28"/>
            <w:u w:val="single"/>
            <w:lang w:bidi="en-US"/>
            <w14:ligatures w14:val="none"/>
          </w:rPr>
          <w:t>https://www.virtualblueridge.com/wp-content/uploads/brp_HABS_HAER_report.pdf</w:t>
        </w:r>
      </w:hyperlink>
    </w:p>
    <w:p w14:paraId="259B2D3B"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D22FF55"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Blue Ridge Parkway History &amp; Culture, National Park Service: </w:t>
      </w:r>
      <w:hyperlink r:id="rId11" w:history="1">
        <w:r w:rsidRPr="00E27DAE">
          <w:rPr>
            <w:rFonts w:eastAsia="Times New Roman"/>
            <w:color w:val="0000FF"/>
            <w:kern w:val="0"/>
            <w:szCs w:val="28"/>
            <w:u w:val="single"/>
            <w:lang w:bidi="en-US"/>
            <w14:ligatures w14:val="none"/>
          </w:rPr>
          <w:t>https://www.nps.gov/blri/learn/historyculture/index.htm</w:t>
        </w:r>
      </w:hyperlink>
    </w:p>
    <w:p w14:paraId="52AA43FB"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8FEE7CC"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“Blue Ridge Parkway,” American Society of Civil Engineers: </w:t>
      </w:r>
      <w:hyperlink r:id="rId12" w:history="1">
        <w:r w:rsidRPr="00E27DAE">
          <w:rPr>
            <w:rFonts w:eastAsia="Times New Roman"/>
            <w:color w:val="0000FF"/>
            <w:kern w:val="0"/>
            <w:szCs w:val="28"/>
            <w:u w:val="single"/>
            <w:lang w:bidi="en-US"/>
            <w14:ligatures w14:val="none"/>
          </w:rPr>
          <w:t>https://www.asce.org/about-civil-engineering/history-and-heritage/historic-landmarks/blue-ridge-parkway</w:t>
        </w:r>
      </w:hyperlink>
    </w:p>
    <w:p w14:paraId="160F615E"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71707F9"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Jeff Brown, “Road with a View: The Blue Ridge Parkway,” </w:t>
      </w:r>
      <w:r w:rsidRPr="00E27DAE">
        <w:rPr>
          <w:rFonts w:eastAsia="Times New Roman"/>
          <w:i/>
          <w:iCs/>
          <w:kern w:val="0"/>
          <w:szCs w:val="28"/>
          <w:lang w:bidi="en-US"/>
          <w14:ligatures w14:val="none"/>
        </w:rPr>
        <w:t>Civil Engineering</w:t>
      </w:r>
      <w:r w:rsidRPr="00E27DAE">
        <w:rPr>
          <w:rFonts w:eastAsia="Times New Roman"/>
          <w:kern w:val="0"/>
          <w:szCs w:val="28"/>
          <w:lang w:bidi="en-US"/>
          <w14:ligatures w14:val="none"/>
        </w:rPr>
        <w:t xml:space="preserve"> (Dec. 2015): 42-45.</w:t>
      </w:r>
      <w:r w:rsidRPr="00E27DAE">
        <w:rPr>
          <w:rFonts w:ascii="Calibri" w:eastAsia="Times New Roman" w:hAnsi="Calibri"/>
          <w:kern w:val="0"/>
          <w:lang w:bidi="en-US"/>
          <w14:ligatures w14:val="none"/>
        </w:rPr>
        <w:t xml:space="preserve"> </w:t>
      </w:r>
      <w:hyperlink r:id="rId13" w:history="1">
        <w:r w:rsidRPr="00E27DAE">
          <w:rPr>
            <w:rFonts w:eastAsia="Times New Roman"/>
            <w:color w:val="0000FF"/>
            <w:kern w:val="0"/>
            <w:szCs w:val="28"/>
            <w:u w:val="single"/>
            <w:lang w:bidi="en-US"/>
            <w14:ligatures w14:val="none"/>
          </w:rPr>
          <w:t>https://highways.dot.gov/federal-lands/about/blue-ridge.pdf</w:t>
        </w:r>
      </w:hyperlink>
      <w:r w:rsidRPr="00E27DAE">
        <w:rPr>
          <w:rFonts w:eastAsia="Times New Roman"/>
          <w:kern w:val="0"/>
          <w:szCs w:val="28"/>
          <w:lang w:bidi="en-US"/>
          <w14:ligatures w14:val="none"/>
        </w:rPr>
        <w:t xml:space="preserve"> </w:t>
      </w:r>
    </w:p>
    <w:p w14:paraId="7999B777"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9205289"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Jim Morrison, “75 Years of the Blue Ridge Parkway,” </w:t>
      </w:r>
      <w:r w:rsidRPr="00E27DAE">
        <w:rPr>
          <w:rFonts w:eastAsia="Times New Roman"/>
          <w:i/>
          <w:iCs/>
          <w:kern w:val="0"/>
          <w:szCs w:val="28"/>
          <w:lang w:bidi="en-US"/>
          <w14:ligatures w14:val="none"/>
        </w:rPr>
        <w:t>Smithsonian Magazine</w:t>
      </w:r>
      <w:r w:rsidRPr="00E27DAE">
        <w:rPr>
          <w:rFonts w:eastAsia="Times New Roman"/>
          <w:kern w:val="0"/>
          <w:szCs w:val="28"/>
          <w:lang w:bidi="en-US"/>
          <w14:ligatures w14:val="none"/>
        </w:rPr>
        <w:t xml:space="preserve">, 15 Sept. 2010. </w:t>
      </w:r>
      <w:hyperlink r:id="rId14" w:history="1">
        <w:r w:rsidRPr="00E27DAE">
          <w:rPr>
            <w:rFonts w:eastAsia="Times New Roman"/>
            <w:color w:val="0000FF"/>
            <w:kern w:val="0"/>
            <w:szCs w:val="28"/>
            <w:u w:val="single"/>
            <w:lang w:bidi="en-US"/>
            <w14:ligatures w14:val="none"/>
          </w:rPr>
          <w:t>https://www.smithsonianmag.com/history/75-years-of-the-blue-ridge-parkway-61889786/</w:t>
        </w:r>
      </w:hyperlink>
    </w:p>
    <w:p w14:paraId="080B007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91D1BD6"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Anne Mitchell Whisnant, “Driving through Time”: </w:t>
      </w:r>
      <w:hyperlink r:id="rId15" w:history="1">
        <w:r w:rsidRPr="00E27DAE">
          <w:rPr>
            <w:rFonts w:eastAsia="Times New Roman"/>
            <w:color w:val="0000FF"/>
            <w:kern w:val="0"/>
            <w:szCs w:val="28"/>
            <w:u w:val="single"/>
            <w:lang w:bidi="en-US"/>
            <w14:ligatures w14:val="none"/>
          </w:rPr>
          <w:t>https://docsouth.unc.edu/blueridgeparkway/about/about_parkway/parkway/</w:t>
        </w:r>
      </w:hyperlink>
    </w:p>
    <w:p w14:paraId="5CC1B556"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0E5680DB"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79A1884"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6.) Gilbert’s Restaurant</w:t>
      </w:r>
    </w:p>
    <w:p w14:paraId="5DAB5A51"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Pittsylvania Historical Society</w:t>
      </w:r>
    </w:p>
    <w:p w14:paraId="11B4B184"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Pittsylvania County</w:t>
      </w:r>
    </w:p>
    <w:p w14:paraId="5C0AD17E"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401 N. Main Street, Chatham</w:t>
      </w:r>
    </w:p>
    <w:p w14:paraId="2613C5FC"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 Contact</w:t>
      </w:r>
      <w:r w:rsidRPr="00E27DAE">
        <w:rPr>
          <w:rFonts w:eastAsia="Times New Roman"/>
          <w:kern w:val="0"/>
          <w:lang w:bidi="en-US"/>
          <w14:ligatures w14:val="none"/>
        </w:rPr>
        <w:t xml:space="preserve">: Ina Dixon, </w:t>
      </w:r>
      <w:hyperlink r:id="rId16" w:history="1">
        <w:r w:rsidRPr="00E27DAE">
          <w:rPr>
            <w:rFonts w:eastAsia="Times New Roman"/>
            <w:color w:val="0000FF"/>
            <w:kern w:val="0"/>
            <w:u w:val="single"/>
            <w:lang w:bidi="en-US"/>
            <w14:ligatures w14:val="none"/>
          </w:rPr>
          <w:t>inaelsabe@gmail.com</w:t>
        </w:r>
      </w:hyperlink>
      <w:r w:rsidRPr="00E27DAE">
        <w:rPr>
          <w:rFonts w:eastAsia="Times New Roman"/>
          <w:kern w:val="0"/>
          <w:lang w:bidi="en-US"/>
          <w14:ligatures w14:val="none"/>
        </w:rPr>
        <w:t xml:space="preserve"> </w:t>
      </w:r>
    </w:p>
    <w:p w14:paraId="5F9F2E02" w14:textId="77777777" w:rsidR="00E27DAE" w:rsidRPr="00E27DAE" w:rsidRDefault="00E27DAE" w:rsidP="00E27DAE">
      <w:pPr>
        <w:spacing w:after="0" w:line="240" w:lineRule="auto"/>
        <w:contextualSpacing/>
        <w:rPr>
          <w:rFonts w:eastAsia="Times New Roman"/>
          <w:kern w:val="0"/>
          <w:lang w:bidi="en-US"/>
          <w14:ligatures w14:val="none"/>
        </w:rPr>
      </w:pPr>
    </w:p>
    <w:p w14:paraId="78B4FE48"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528BFE26" w14:textId="77777777" w:rsidR="00E27DAE" w:rsidRPr="00E27DAE" w:rsidRDefault="00E27DAE" w:rsidP="00E27DAE">
      <w:pPr>
        <w:spacing w:after="0" w:line="240" w:lineRule="auto"/>
        <w:rPr>
          <w:rFonts w:eastAsia="Times New Roman"/>
          <w:kern w:val="0"/>
          <w:lang w:bidi="en-US"/>
          <w14:ligatures w14:val="none"/>
        </w:rPr>
      </w:pPr>
    </w:p>
    <w:p w14:paraId="5FA1EA85"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Gilbert’s Restaurant</w:t>
      </w:r>
    </w:p>
    <w:p w14:paraId="61AECDAD"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0A154C21"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kern w:val="0"/>
          <w:lang w:bidi="en-US"/>
          <w14:ligatures w14:val="none"/>
        </w:rPr>
        <w:t xml:space="preserve">Gilbert’s Restaurant in Chatham was built circa 1945 by Rev. Robert Gregory Gilbert as a gas station, store, tourist home, and café for Black patrons during Jim Crow segregation. Gilbert ran </w:t>
      </w:r>
      <w:r w:rsidRPr="00E27DAE">
        <w:rPr>
          <w:rFonts w:eastAsia="Times New Roman"/>
          <w:kern w:val="0"/>
          <w:lang w:bidi="en-US"/>
          <w14:ligatures w14:val="none"/>
        </w:rPr>
        <w:lastRenderedPageBreak/>
        <w:t>the business with his wife, Arzelia. Their son Robert Lee Gilbert and his wife Sandra took over the business and ran it primarily as a restaurant from 1971 until its closure in 1999. Throughout its years of operation, the building served as a haven for the local community and Black travelers. Among the many who stayed or dined here include Fats Domino, Lloyd Price, The Singing Siamese Twins Yvonne and Yvette McCarther, James Earl Jones, and defense attorneys for the 1949-1951 Martinsville Seven case.</w:t>
      </w:r>
    </w:p>
    <w:p w14:paraId="6E163F24" w14:textId="77777777" w:rsidR="00E27DAE" w:rsidRPr="00E27DAE" w:rsidRDefault="00E27DAE" w:rsidP="00E27DAE">
      <w:pPr>
        <w:spacing w:after="0" w:line="240" w:lineRule="auto"/>
        <w:contextualSpacing/>
        <w:rPr>
          <w:rFonts w:eastAsia="Times New Roman"/>
          <w:kern w:val="0"/>
          <w:lang w:bidi="en-US"/>
          <w14:ligatures w14:val="none"/>
        </w:rPr>
      </w:pPr>
    </w:p>
    <w:p w14:paraId="668127E9"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115 words/ 696 characters</w:t>
      </w:r>
    </w:p>
    <w:p w14:paraId="03E4FBC7" w14:textId="77777777" w:rsidR="00E27DAE" w:rsidRPr="00E27DAE" w:rsidRDefault="00E27DAE" w:rsidP="00E27DAE">
      <w:pPr>
        <w:spacing w:after="0" w:line="240" w:lineRule="auto"/>
        <w:contextualSpacing/>
        <w:rPr>
          <w:rFonts w:eastAsia="Times New Roman"/>
          <w:b/>
          <w:kern w:val="0"/>
          <w:lang w:bidi="en-US"/>
          <w14:ligatures w14:val="none"/>
        </w:rPr>
      </w:pPr>
    </w:p>
    <w:p w14:paraId="029BA483" w14:textId="77777777" w:rsidR="00E27DAE" w:rsidRPr="00E27DAE" w:rsidRDefault="00E27DAE" w:rsidP="00E27DAE">
      <w:pPr>
        <w:spacing w:after="0" w:line="240" w:lineRule="auto"/>
        <w:rPr>
          <w:rFonts w:eastAsia="Times New Roman"/>
          <w:b/>
          <w:kern w:val="0"/>
          <w:szCs w:val="28"/>
          <w:lang w:bidi="en-US"/>
          <w14:ligatures w14:val="none"/>
        </w:rPr>
      </w:pPr>
    </w:p>
    <w:p w14:paraId="2802F74E"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14D62A48" w14:textId="77777777" w:rsidR="00E27DAE" w:rsidRPr="00E27DAE" w:rsidRDefault="00E27DAE" w:rsidP="00E27DAE">
      <w:pPr>
        <w:spacing w:after="0" w:line="240" w:lineRule="auto"/>
        <w:rPr>
          <w:rFonts w:eastAsia="Times New Roman"/>
          <w:b/>
          <w:kern w:val="0"/>
          <w:szCs w:val="28"/>
          <w:lang w:bidi="en-US"/>
          <w14:ligatures w14:val="none"/>
        </w:rPr>
      </w:pPr>
    </w:p>
    <w:p w14:paraId="7720C673" w14:textId="77777777" w:rsidR="00E27DAE" w:rsidRPr="00E27DAE" w:rsidRDefault="00E27DAE" w:rsidP="00E27DAE">
      <w:pPr>
        <w:spacing w:after="0" w:line="240" w:lineRule="auto"/>
        <w:jc w:val="both"/>
        <w:rPr>
          <w:rFonts w:eastAsia="Times New Roman"/>
          <w:b/>
          <w:kern w:val="0"/>
          <w:lang w:bidi="en-US"/>
          <w14:ligatures w14:val="none"/>
        </w:rPr>
      </w:pPr>
      <w:bookmarkStart w:id="6" w:name="_Hlk202186003"/>
      <w:r w:rsidRPr="00E27DAE">
        <w:rPr>
          <w:rFonts w:eastAsia="Times New Roman"/>
          <w:b/>
          <w:kern w:val="0"/>
          <w:lang w:bidi="en-US"/>
          <w14:ligatures w14:val="none"/>
        </w:rPr>
        <w:t>Gilbert’s Restaurant</w:t>
      </w:r>
    </w:p>
    <w:p w14:paraId="3F6A0FC1" w14:textId="77777777" w:rsidR="00E27DAE" w:rsidRPr="00E27DAE" w:rsidRDefault="00E27DAE" w:rsidP="00E27DAE">
      <w:pPr>
        <w:spacing w:after="0" w:line="240" w:lineRule="auto"/>
        <w:jc w:val="both"/>
        <w:rPr>
          <w:rFonts w:eastAsia="Times New Roman"/>
          <w:kern w:val="0"/>
          <w:lang w:bidi="en-US"/>
          <w14:ligatures w14:val="none"/>
        </w:rPr>
      </w:pPr>
    </w:p>
    <w:p w14:paraId="62EB4131" w14:textId="77777777"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t>The Rev. Robert G. Gilbert built Gilbert’s Restaurant here ca. 1945 as a café, store, gas station, and tourist home for Black patrons during Jim Crow segregation. He and his wife, Arzelia, ran the business until 1971, after which their son and daughter-in-law operated it primarily as a restaurant until its closure in 1999. Located on US Route 29, a major artery connecting the mid-Atlantic and the Deep South, the enterprise was a regional hub for the Black community and a haven for Black travelers. Among those who stayed or dined here were Fats Domino, Lloyd Price, the Singing Siamese Twins (Yvonne and Yvette McCarther), James Earl Jones, and defense attorneys for the Martinsville Seven case.</w:t>
      </w:r>
    </w:p>
    <w:bookmarkEnd w:id="6"/>
    <w:p w14:paraId="7630EC15" w14:textId="77777777" w:rsidR="00E27DAE" w:rsidRPr="00E27DAE" w:rsidRDefault="00E27DAE" w:rsidP="00E27DAE">
      <w:pPr>
        <w:spacing w:after="0" w:line="240" w:lineRule="auto"/>
        <w:jc w:val="both"/>
        <w:rPr>
          <w:rFonts w:eastAsia="Times New Roman"/>
          <w:kern w:val="0"/>
          <w:lang w:bidi="en-US"/>
          <w14:ligatures w14:val="none"/>
        </w:rPr>
      </w:pPr>
    </w:p>
    <w:p w14:paraId="4DDDE86D"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116 words/ 700 characters</w:t>
      </w:r>
    </w:p>
    <w:p w14:paraId="552A6EBE" w14:textId="77777777" w:rsidR="00E27DAE" w:rsidRPr="00E27DAE" w:rsidRDefault="00E27DAE" w:rsidP="00E27DAE">
      <w:pPr>
        <w:spacing w:after="0" w:line="240" w:lineRule="auto"/>
        <w:jc w:val="both"/>
        <w:rPr>
          <w:rFonts w:eastAsia="Times New Roman"/>
          <w:kern w:val="0"/>
          <w:lang w:bidi="en-US"/>
          <w14:ligatures w14:val="none"/>
        </w:rPr>
      </w:pPr>
    </w:p>
    <w:p w14:paraId="57E7645C"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6302087E"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00CB944"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Danville Register and Bee</w:t>
      </w:r>
      <w:r w:rsidRPr="00E27DAE">
        <w:rPr>
          <w:rFonts w:eastAsia="Times New Roman"/>
          <w:kern w:val="0"/>
          <w:szCs w:val="28"/>
          <w:lang w:bidi="en-US"/>
          <w14:ligatures w14:val="none"/>
        </w:rPr>
        <w:t>, 17 July 1985, 20 May 1986.</w:t>
      </w:r>
    </w:p>
    <w:p w14:paraId="632C4A5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52C768C"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Robert L. Gilbert, “My Recollections of Gilbert’s Restaurant and Tourist Home” (Pittsylvania County Historical Society, 2015).</w:t>
      </w:r>
    </w:p>
    <w:p w14:paraId="05CCA04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62D2E84"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Gilbert’s Restaurant National Register of Historic Places nomination (2024).</w:t>
      </w:r>
    </w:p>
    <w:p w14:paraId="5E5E4150"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0FC7F37"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U.S. Census, 1950.</w:t>
      </w:r>
    </w:p>
    <w:p w14:paraId="51A94310"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57E8DBC"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31045BB"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7.) Patrick Central School</w:t>
      </w:r>
    </w:p>
    <w:p w14:paraId="624FE801"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Patrick Central School Alumni</w:t>
      </w:r>
    </w:p>
    <w:p w14:paraId="2E845CBC"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Patrick County</w:t>
      </w:r>
    </w:p>
    <w:p w14:paraId="26E66121"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Salem Highway (Route 8) near intersection with Black Jack Road</w:t>
      </w:r>
    </w:p>
    <w:p w14:paraId="6F28F7BE"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 Contact</w:t>
      </w:r>
      <w:r w:rsidRPr="00E27DAE">
        <w:rPr>
          <w:rFonts w:eastAsia="Times New Roman"/>
          <w:kern w:val="0"/>
          <w:lang w:bidi="en-US"/>
          <w14:ligatures w14:val="none"/>
        </w:rPr>
        <w:t xml:space="preserve">: Mary Frances Sawyers, </w:t>
      </w:r>
      <w:hyperlink r:id="rId17" w:history="1">
        <w:r w:rsidRPr="00E27DAE">
          <w:rPr>
            <w:rFonts w:eastAsia="Times New Roman"/>
            <w:color w:val="0000FF"/>
            <w:kern w:val="0"/>
            <w:u w:val="single"/>
            <w:lang w:bidi="en-US"/>
            <w14:ligatures w14:val="none"/>
          </w:rPr>
          <w:t>mfsawyers1001@yahoo.com</w:t>
        </w:r>
      </w:hyperlink>
      <w:r w:rsidRPr="00E27DAE">
        <w:rPr>
          <w:rFonts w:eastAsia="Times New Roman"/>
          <w:kern w:val="0"/>
          <w:lang w:bidi="en-US"/>
          <w14:ligatures w14:val="none"/>
        </w:rPr>
        <w:t xml:space="preserve"> </w:t>
      </w:r>
    </w:p>
    <w:p w14:paraId="11B51C2D" w14:textId="77777777" w:rsidR="00E27DAE" w:rsidRPr="00E27DAE" w:rsidRDefault="00E27DAE" w:rsidP="00E27DAE">
      <w:pPr>
        <w:spacing w:after="0" w:line="240" w:lineRule="auto"/>
        <w:contextualSpacing/>
        <w:rPr>
          <w:rFonts w:eastAsia="Times New Roman"/>
          <w:kern w:val="0"/>
          <w:lang w:bidi="en-US"/>
          <w14:ligatures w14:val="none"/>
        </w:rPr>
      </w:pPr>
    </w:p>
    <w:p w14:paraId="6C06B067"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57AA5940" w14:textId="77777777" w:rsidR="00E27DAE" w:rsidRPr="00E27DAE" w:rsidRDefault="00E27DAE" w:rsidP="00E27DAE">
      <w:pPr>
        <w:spacing w:after="0" w:line="240" w:lineRule="auto"/>
        <w:rPr>
          <w:rFonts w:eastAsia="Times New Roman"/>
          <w:kern w:val="0"/>
          <w:lang w:bidi="en-US"/>
          <w14:ligatures w14:val="none"/>
        </w:rPr>
      </w:pPr>
    </w:p>
    <w:p w14:paraId="3D2ED394"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Patrick Central School</w:t>
      </w:r>
    </w:p>
    <w:p w14:paraId="48779AC0"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lastRenderedPageBreak/>
        <w:t xml:space="preserve"> </w:t>
      </w:r>
    </w:p>
    <w:p w14:paraId="2F788441"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kern w:val="0"/>
          <w:szCs w:val="20"/>
          <w14:ligatures w14:val="none"/>
        </w:rPr>
        <w:t>Patrick Central School opened in 1952 to provide public education for all African American students in Patrick County, grades 1-12.  Prior to 1952, education for African American children ended at 7</w:t>
      </w:r>
      <w:r w:rsidRPr="00E27DAE">
        <w:rPr>
          <w:rFonts w:eastAsia="Times New Roman"/>
          <w:kern w:val="0"/>
          <w:szCs w:val="20"/>
          <w:vertAlign w:val="superscript"/>
          <w14:ligatures w14:val="none"/>
        </w:rPr>
        <w:t>th</w:t>
      </w:r>
      <w:r w:rsidRPr="00E27DAE">
        <w:rPr>
          <w:rFonts w:eastAsia="Times New Roman"/>
          <w:kern w:val="0"/>
          <w:szCs w:val="20"/>
          <w14:ligatures w14:val="none"/>
        </w:rPr>
        <w:t xml:space="preserve"> grade and was provided in one or two room buildings or churches. Patrick Central brought together approximately 600 students, teachers, and administrative staff determined to make the new experience unforgettable for students.  For the first time in the education of African American students in Patrick County, students could participate in organized sports and other school-based organizations. The consolidation created cohesiveness and a strong sense of pride among students and teachers.  However, following the desegregation of public schools in Patrick County, Patrick Central School closed in 1966.  Today, for alumni and future generations of African American children, its structure still evokes feelings of pride, success, and joy that we will always have a reminder of this history and legacy.</w:t>
      </w:r>
    </w:p>
    <w:p w14:paraId="3D76768C" w14:textId="77777777" w:rsidR="00E27DAE" w:rsidRPr="00E27DAE" w:rsidRDefault="00E27DAE" w:rsidP="00E27DAE">
      <w:pPr>
        <w:spacing w:after="0" w:line="240" w:lineRule="auto"/>
        <w:contextualSpacing/>
        <w:rPr>
          <w:rFonts w:eastAsia="Times New Roman"/>
          <w:kern w:val="0"/>
          <w:lang w:bidi="en-US"/>
          <w14:ligatures w14:val="none"/>
        </w:rPr>
      </w:pPr>
    </w:p>
    <w:p w14:paraId="04AEB6E6"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149 words/ 1,006 characters</w:t>
      </w:r>
    </w:p>
    <w:p w14:paraId="3DAB4775" w14:textId="77777777" w:rsidR="00E27DAE" w:rsidRPr="00E27DAE" w:rsidRDefault="00E27DAE" w:rsidP="00E27DAE">
      <w:pPr>
        <w:spacing w:after="0" w:line="240" w:lineRule="auto"/>
        <w:contextualSpacing/>
        <w:rPr>
          <w:rFonts w:eastAsia="Times New Roman"/>
          <w:b/>
          <w:kern w:val="0"/>
          <w:lang w:bidi="en-US"/>
          <w14:ligatures w14:val="none"/>
        </w:rPr>
      </w:pPr>
    </w:p>
    <w:p w14:paraId="6EE12C4B" w14:textId="77777777" w:rsidR="00E27DAE" w:rsidRPr="00E27DAE" w:rsidRDefault="00E27DAE" w:rsidP="00E27DAE">
      <w:pPr>
        <w:spacing w:after="0" w:line="240" w:lineRule="auto"/>
        <w:rPr>
          <w:rFonts w:eastAsia="Times New Roman"/>
          <w:b/>
          <w:kern w:val="0"/>
          <w:szCs w:val="28"/>
          <w:lang w:bidi="en-US"/>
          <w14:ligatures w14:val="none"/>
        </w:rPr>
      </w:pPr>
    </w:p>
    <w:p w14:paraId="4F6D1C73"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27E95480" w14:textId="77777777" w:rsidR="00E27DAE" w:rsidRPr="00E27DAE" w:rsidRDefault="00E27DAE" w:rsidP="00E27DAE">
      <w:pPr>
        <w:spacing w:after="0" w:line="240" w:lineRule="auto"/>
        <w:rPr>
          <w:rFonts w:eastAsia="Times New Roman"/>
          <w:b/>
          <w:kern w:val="0"/>
          <w:szCs w:val="28"/>
          <w:lang w:bidi="en-US"/>
          <w14:ligatures w14:val="none"/>
        </w:rPr>
      </w:pPr>
    </w:p>
    <w:p w14:paraId="3D5B7B7B"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Patrick Central School</w:t>
      </w:r>
    </w:p>
    <w:p w14:paraId="799CF45F" w14:textId="77777777" w:rsidR="00E27DAE" w:rsidRPr="00E27DAE" w:rsidRDefault="00E27DAE" w:rsidP="00E27DAE">
      <w:pPr>
        <w:spacing w:after="0" w:line="240" w:lineRule="auto"/>
        <w:jc w:val="both"/>
        <w:rPr>
          <w:rFonts w:eastAsia="Times New Roman"/>
          <w:kern w:val="0"/>
          <w:lang w:bidi="en-US"/>
          <w14:ligatures w14:val="none"/>
        </w:rPr>
      </w:pPr>
      <w:bookmarkStart w:id="7" w:name="_Hlk201913760"/>
    </w:p>
    <w:p w14:paraId="1557E6C9" w14:textId="77777777"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t>In the late 1940s, as federal courts were requiring equity for segregated schools, the African American community in Patrick County campaigned for a consolidated school to replace inadequate facilities. In 1952, Patrick Central School opened 0.6 miles southwest of here to serve the county’s African American students in grades 1-12, providing them with a full high school education for the first time. Its athletic teams, clubs, and cultural events fostered community cohesion and pride. Alumni worked in education, government, medicine, engineering, the military, and other fields. Patrick Central was closed in 1966, when the county fully desegregated its schools to comply with federal guidelines.</w:t>
      </w:r>
    </w:p>
    <w:p w14:paraId="683D73AD" w14:textId="77777777" w:rsidR="00E27DAE" w:rsidRPr="00E27DAE" w:rsidRDefault="00E27DAE" w:rsidP="00E27DAE">
      <w:pPr>
        <w:spacing w:after="0" w:line="240" w:lineRule="auto"/>
        <w:jc w:val="both"/>
        <w:rPr>
          <w:rFonts w:eastAsia="Times New Roman"/>
          <w:kern w:val="0"/>
          <w:lang w:bidi="en-US"/>
          <w14:ligatures w14:val="none"/>
        </w:rPr>
      </w:pPr>
    </w:p>
    <w:bookmarkEnd w:id="7"/>
    <w:p w14:paraId="188B98B4"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104 words/ 701 characters</w:t>
      </w:r>
    </w:p>
    <w:p w14:paraId="3E6DF799" w14:textId="77777777" w:rsidR="00E27DAE" w:rsidRPr="00E27DAE" w:rsidRDefault="00E27DAE" w:rsidP="00E27DAE">
      <w:pPr>
        <w:spacing w:after="0" w:line="240" w:lineRule="auto"/>
        <w:jc w:val="both"/>
        <w:rPr>
          <w:rFonts w:eastAsia="Times New Roman"/>
          <w:kern w:val="0"/>
          <w:lang w:bidi="en-US"/>
          <w14:ligatures w14:val="none"/>
        </w:rPr>
      </w:pPr>
    </w:p>
    <w:p w14:paraId="1BC089FE" w14:textId="77777777" w:rsidR="00E27DAE" w:rsidRPr="00E27DAE" w:rsidRDefault="00E27DAE" w:rsidP="00E27DAE">
      <w:pPr>
        <w:spacing w:after="0" w:line="240" w:lineRule="auto"/>
        <w:rPr>
          <w:rFonts w:eastAsia="Times New Roman"/>
          <w:kern w:val="0"/>
          <w:szCs w:val="28"/>
          <w:lang w:bidi="en-US"/>
          <w14:ligatures w14:val="none"/>
        </w:rPr>
      </w:pPr>
    </w:p>
    <w:p w14:paraId="447A8DD8"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2CA076A1"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2F3CC31"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Patrick County School Board Minutes</w:t>
      </w:r>
    </w:p>
    <w:p w14:paraId="7DED3523"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01C688B"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Informer and Texas Freeman</w:t>
      </w:r>
      <w:r w:rsidRPr="00E27DAE">
        <w:rPr>
          <w:rFonts w:eastAsia="Times New Roman"/>
          <w:kern w:val="0"/>
          <w:szCs w:val="28"/>
          <w:lang w:bidi="en-US"/>
          <w14:ligatures w14:val="none"/>
        </w:rPr>
        <w:t>, 25 Dec. 1948.</w:t>
      </w:r>
    </w:p>
    <w:p w14:paraId="2CE35478"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82C4D5F"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Norfolk Journal and Guide</w:t>
      </w:r>
      <w:r w:rsidRPr="00E27DAE">
        <w:rPr>
          <w:rFonts w:eastAsia="Times New Roman"/>
          <w:kern w:val="0"/>
          <w:szCs w:val="28"/>
          <w:lang w:bidi="en-US"/>
          <w14:ligatures w14:val="none"/>
        </w:rPr>
        <w:t>, 25 Dec. 1948.</w:t>
      </w:r>
    </w:p>
    <w:p w14:paraId="46A0FDD1"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9361FA2"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Greensboro Daily News</w:t>
      </w:r>
      <w:r w:rsidRPr="00E27DAE">
        <w:rPr>
          <w:rFonts w:eastAsia="Times New Roman"/>
          <w:kern w:val="0"/>
          <w:szCs w:val="28"/>
          <w:lang w:bidi="en-US"/>
          <w14:ligatures w14:val="none"/>
        </w:rPr>
        <w:t>, 10 Sept. 1952.</w:t>
      </w:r>
    </w:p>
    <w:p w14:paraId="1C684220"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6BD88E9"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Martinsville Bulletin</w:t>
      </w:r>
      <w:r w:rsidRPr="00E27DAE">
        <w:rPr>
          <w:rFonts w:eastAsia="Times New Roman"/>
          <w:kern w:val="0"/>
          <w:szCs w:val="28"/>
          <w:lang w:bidi="en-US"/>
          <w14:ligatures w14:val="none"/>
        </w:rPr>
        <w:t>, 13 Dec. 1948, 6 May, 21 Aug. 1966.</w:t>
      </w:r>
    </w:p>
    <w:p w14:paraId="103A30D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3701B38"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Enterprise</w:t>
      </w:r>
      <w:r w:rsidRPr="00E27DAE">
        <w:rPr>
          <w:rFonts w:eastAsia="Times New Roman"/>
          <w:kern w:val="0"/>
          <w:szCs w:val="28"/>
          <w:lang w:bidi="en-US"/>
          <w14:ligatures w14:val="none"/>
        </w:rPr>
        <w:t>, 16 June 1966.</w:t>
      </w:r>
    </w:p>
    <w:p w14:paraId="1ED103E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38F25C8"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lastRenderedPageBreak/>
        <w:t>Richmond Times</w:t>
      </w:r>
      <w:r w:rsidRPr="00E27DAE">
        <w:rPr>
          <w:rFonts w:eastAsia="Times New Roman"/>
          <w:kern w:val="0"/>
          <w:szCs w:val="28"/>
          <w:lang w:bidi="en-US"/>
          <w14:ligatures w14:val="none"/>
        </w:rPr>
        <w:t>, 29 March, 16 June 1966.</w:t>
      </w:r>
    </w:p>
    <w:p w14:paraId="35A94F56"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B555C60"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Richmond News-Leader</w:t>
      </w:r>
      <w:r w:rsidRPr="00E27DAE">
        <w:rPr>
          <w:rFonts w:eastAsia="Times New Roman"/>
          <w:kern w:val="0"/>
          <w:szCs w:val="28"/>
          <w:lang w:bidi="en-US"/>
          <w14:ligatures w14:val="none"/>
        </w:rPr>
        <w:t>, 31 Dec. 1952.</w:t>
      </w:r>
    </w:p>
    <w:p w14:paraId="54C5A950"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DFD451E"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Patrick Central School Yearbook, 1953, 1956, 1957.</w:t>
      </w:r>
    </w:p>
    <w:p w14:paraId="38516EAF"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71000CC"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Doxey A. Wilkerson, “The Negro School Movement in Virginia: From ‘Equalization’ to</w:t>
      </w:r>
    </w:p>
    <w:p w14:paraId="2BFB680E"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‘Integration,’” </w:t>
      </w:r>
      <w:r w:rsidRPr="00E27DAE">
        <w:rPr>
          <w:rFonts w:eastAsia="Times New Roman"/>
          <w:i/>
          <w:iCs/>
          <w:kern w:val="0"/>
          <w:szCs w:val="28"/>
          <w:lang w:bidi="en-US"/>
          <w14:ligatures w14:val="none"/>
        </w:rPr>
        <w:t>Journal of Negro Education</w:t>
      </w:r>
      <w:r w:rsidRPr="00E27DAE">
        <w:rPr>
          <w:rFonts w:eastAsia="Times New Roman"/>
          <w:kern w:val="0"/>
          <w:szCs w:val="28"/>
          <w:lang w:bidi="en-US"/>
          <w14:ligatures w14:val="none"/>
        </w:rPr>
        <w:t>, vol. 29, issue 1 (winter 1960), 17-29.</w:t>
      </w:r>
    </w:p>
    <w:p w14:paraId="66D3A1AC"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FEE335A"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034E4CD"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8.) TransAmerica Bicycle Trail</w:t>
      </w:r>
    </w:p>
    <w:p w14:paraId="183A75E6"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Jennifer and William C. Lee</w:t>
      </w:r>
    </w:p>
    <w:p w14:paraId="15C9C1D6"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Botetourt County</w:t>
      </w:r>
    </w:p>
    <w:p w14:paraId="781DFAF1"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Catawba Road west of US 220</w:t>
      </w:r>
    </w:p>
    <w:p w14:paraId="3130E557"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 Contact</w:t>
      </w:r>
      <w:r w:rsidRPr="00E27DAE">
        <w:rPr>
          <w:rFonts w:eastAsia="Times New Roman"/>
          <w:kern w:val="0"/>
          <w:lang w:bidi="en-US"/>
          <w14:ligatures w14:val="none"/>
        </w:rPr>
        <w:t xml:space="preserve">: Jennifer Paulson-Lee, </w:t>
      </w:r>
      <w:hyperlink r:id="rId18" w:history="1">
        <w:r w:rsidRPr="00E27DAE">
          <w:rPr>
            <w:rFonts w:eastAsia="Times New Roman"/>
            <w:color w:val="0000FF"/>
            <w:kern w:val="0"/>
            <w:u w:val="single"/>
            <w:lang w:bidi="en-US"/>
            <w14:ligatures w14:val="none"/>
          </w:rPr>
          <w:t>jpaulsonlee@gmail.com</w:t>
        </w:r>
      </w:hyperlink>
      <w:r w:rsidRPr="00E27DAE">
        <w:rPr>
          <w:rFonts w:eastAsia="Times New Roman"/>
          <w:kern w:val="0"/>
          <w:lang w:bidi="en-US"/>
          <w14:ligatures w14:val="none"/>
        </w:rPr>
        <w:t xml:space="preserve"> </w:t>
      </w:r>
    </w:p>
    <w:p w14:paraId="3BDB02C3" w14:textId="77777777" w:rsidR="00E27DAE" w:rsidRPr="00E27DAE" w:rsidRDefault="00E27DAE" w:rsidP="00E27DAE">
      <w:pPr>
        <w:spacing w:after="0" w:line="240" w:lineRule="auto"/>
        <w:contextualSpacing/>
        <w:rPr>
          <w:rFonts w:eastAsia="Times New Roman"/>
          <w:kern w:val="0"/>
          <w:lang w:bidi="en-US"/>
          <w14:ligatures w14:val="none"/>
        </w:rPr>
      </w:pPr>
    </w:p>
    <w:p w14:paraId="5C05C99B"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6514262F" w14:textId="77777777" w:rsidR="00E27DAE" w:rsidRPr="00E27DAE" w:rsidRDefault="00E27DAE" w:rsidP="00E27DAE">
      <w:pPr>
        <w:spacing w:after="0" w:line="240" w:lineRule="auto"/>
        <w:rPr>
          <w:rFonts w:eastAsia="Times New Roman"/>
          <w:kern w:val="0"/>
          <w:lang w:bidi="en-US"/>
          <w14:ligatures w14:val="none"/>
        </w:rPr>
      </w:pPr>
    </w:p>
    <w:p w14:paraId="5109C1F9"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TransAmerica Bicycle Trail</w:t>
      </w:r>
    </w:p>
    <w:p w14:paraId="7E6352AF"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4367ECA0"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kern w:val="0"/>
          <w:lang w:bidi="en-US"/>
          <w14:ligatures w14:val="none"/>
        </w:rPr>
        <w:t>As America’s Bicentennial approached, four young cycling enthusiasts dreamed of creating a summer-long, coast-to-coast bicycle tour of the United States. Coined “Bikecentennial 76” by founder June J. Siple, it became an unforgettable and colossal grassroots event. Lys Burden, the other founding female, was the primary architect of the route called the TransAmerica Bicycle Trail, using roads that travel through small communities and across countryside vistas. She mapped campsites, located stops for food and included historic points of interest, many of which are in the Commonwealth of Virginia. An estimated 4100 cyclists from the US and abroad rode the scenic 4250-mile TransAmerica Bicycle Trail that summer of 1976. Still in use today, the trail is officially recognized as USBR 76.</w:t>
      </w:r>
    </w:p>
    <w:p w14:paraId="04ED8315" w14:textId="77777777" w:rsidR="00E27DAE" w:rsidRPr="00E27DAE" w:rsidRDefault="00E27DAE" w:rsidP="00E27DAE">
      <w:pPr>
        <w:spacing w:after="0" w:line="240" w:lineRule="auto"/>
        <w:contextualSpacing/>
        <w:rPr>
          <w:rFonts w:eastAsia="Times New Roman"/>
          <w:kern w:val="0"/>
          <w:lang w:bidi="en-US"/>
          <w14:ligatures w14:val="none"/>
        </w:rPr>
      </w:pPr>
    </w:p>
    <w:p w14:paraId="26CA5EA6"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119 words/ 791 characters</w:t>
      </w:r>
    </w:p>
    <w:p w14:paraId="3C9DCB9D" w14:textId="77777777" w:rsidR="00E27DAE" w:rsidRPr="00E27DAE" w:rsidRDefault="00E27DAE" w:rsidP="00E27DAE">
      <w:pPr>
        <w:spacing w:after="0" w:line="240" w:lineRule="auto"/>
        <w:contextualSpacing/>
        <w:rPr>
          <w:rFonts w:eastAsia="Times New Roman"/>
          <w:b/>
          <w:kern w:val="0"/>
          <w:lang w:bidi="en-US"/>
          <w14:ligatures w14:val="none"/>
        </w:rPr>
      </w:pPr>
    </w:p>
    <w:p w14:paraId="0C99208D" w14:textId="77777777" w:rsidR="00E27DAE" w:rsidRPr="00E27DAE" w:rsidRDefault="00E27DAE" w:rsidP="00E27DAE">
      <w:pPr>
        <w:spacing w:after="0" w:line="240" w:lineRule="auto"/>
        <w:rPr>
          <w:rFonts w:eastAsia="Times New Roman"/>
          <w:b/>
          <w:kern w:val="0"/>
          <w:szCs w:val="28"/>
          <w:lang w:bidi="en-US"/>
          <w14:ligatures w14:val="none"/>
        </w:rPr>
      </w:pPr>
    </w:p>
    <w:p w14:paraId="698284E1"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4F30ACC4" w14:textId="77777777" w:rsidR="00E27DAE" w:rsidRPr="00E27DAE" w:rsidRDefault="00E27DAE" w:rsidP="00E27DAE">
      <w:pPr>
        <w:spacing w:after="0" w:line="240" w:lineRule="auto"/>
        <w:rPr>
          <w:rFonts w:eastAsia="Times New Roman"/>
          <w:b/>
          <w:kern w:val="0"/>
          <w:szCs w:val="28"/>
          <w:lang w:bidi="en-US"/>
          <w14:ligatures w14:val="none"/>
        </w:rPr>
      </w:pPr>
    </w:p>
    <w:p w14:paraId="1960ACCD"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TransAmerica Bicycle Trail</w:t>
      </w:r>
    </w:p>
    <w:p w14:paraId="2CD206E5" w14:textId="77777777" w:rsidR="00E27DAE" w:rsidRPr="00E27DAE" w:rsidRDefault="00E27DAE" w:rsidP="00E27DAE">
      <w:pPr>
        <w:spacing w:after="0" w:line="240" w:lineRule="auto"/>
        <w:jc w:val="both"/>
        <w:rPr>
          <w:rFonts w:eastAsia="Times New Roman"/>
          <w:kern w:val="0"/>
          <w:lang w:bidi="en-US"/>
          <w14:ligatures w14:val="none"/>
        </w:rPr>
      </w:pPr>
    </w:p>
    <w:p w14:paraId="105F518A" w14:textId="77777777"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t>In 1973, after a decade in which recreational cycling became increasingly popular among young Americans, four cycling enthusiasts began planning Bikecentennial76 to mark the nation’s bicentennial. The months-long event, inaugurated at Jamestown in May 1976, featured tours along a specially designed route known as the TransAmerica Bicycle Trail, which stretched 4,250 miles on public roads from Yorktown to Oregon and passed here. Roughly 4,100 riders from the U.S. and beyond encountered rural vistas, small communities, and historic points of interest. The eastern third of the TransAmerica trail, including more than 500 miles in Virginia, was designated U.S. Bicycle Route 76 in 1982.</w:t>
      </w:r>
    </w:p>
    <w:p w14:paraId="33C7E683" w14:textId="77777777" w:rsidR="00E27DAE" w:rsidRPr="00E27DAE" w:rsidRDefault="00E27DAE" w:rsidP="00E27DAE">
      <w:pPr>
        <w:spacing w:after="0" w:line="240" w:lineRule="auto"/>
        <w:jc w:val="both"/>
        <w:rPr>
          <w:rFonts w:eastAsia="Times New Roman"/>
          <w:kern w:val="0"/>
          <w:lang w:bidi="en-US"/>
          <w14:ligatures w14:val="none"/>
        </w:rPr>
      </w:pPr>
    </w:p>
    <w:p w14:paraId="16E2FF17"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lastRenderedPageBreak/>
        <w:t>102 words/ 689 characters</w:t>
      </w:r>
    </w:p>
    <w:p w14:paraId="1D60E47B" w14:textId="77777777" w:rsidR="00E27DAE" w:rsidRPr="00E27DAE" w:rsidRDefault="00E27DAE" w:rsidP="00E27DAE">
      <w:pPr>
        <w:spacing w:after="0" w:line="240" w:lineRule="auto"/>
        <w:jc w:val="both"/>
        <w:rPr>
          <w:rFonts w:eastAsia="Times New Roman"/>
          <w:kern w:val="0"/>
          <w:lang w:bidi="en-US"/>
          <w14:ligatures w14:val="none"/>
        </w:rPr>
      </w:pPr>
    </w:p>
    <w:p w14:paraId="292A1555" w14:textId="77777777" w:rsidR="00E27DAE" w:rsidRPr="00E27DAE" w:rsidRDefault="00E27DAE" w:rsidP="00E27DAE">
      <w:pPr>
        <w:spacing w:after="0" w:line="240" w:lineRule="auto"/>
        <w:rPr>
          <w:rFonts w:eastAsia="Times New Roman"/>
          <w:kern w:val="0"/>
          <w:szCs w:val="28"/>
          <w:lang w:bidi="en-US"/>
          <w14:ligatures w14:val="none"/>
        </w:rPr>
      </w:pPr>
    </w:p>
    <w:p w14:paraId="4E811EC4"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4A862A9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81C66C1"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Greg Siple, “Bikecentennial 76: America’s Biggest Bicycling Event,” </w:t>
      </w:r>
      <w:r w:rsidRPr="00E27DAE">
        <w:rPr>
          <w:rFonts w:eastAsia="Times New Roman"/>
          <w:i/>
          <w:iCs/>
          <w:kern w:val="0"/>
          <w:szCs w:val="28"/>
          <w:lang w:bidi="en-US"/>
          <w14:ligatures w14:val="none"/>
        </w:rPr>
        <w:t>Cycle History</w:t>
      </w:r>
      <w:r w:rsidRPr="00E27DAE">
        <w:rPr>
          <w:rFonts w:eastAsia="Times New Roman"/>
          <w:kern w:val="0"/>
          <w:szCs w:val="28"/>
          <w:lang w:bidi="en-US"/>
          <w14:ligatures w14:val="none"/>
        </w:rPr>
        <w:t xml:space="preserve"> 27 (2016).</w:t>
      </w:r>
    </w:p>
    <w:p w14:paraId="149EBEAD"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905AE0B"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Greg Siple, “The Bikecentennial Summer of 1976,” </w:t>
      </w:r>
      <w:r w:rsidRPr="00E27DAE">
        <w:rPr>
          <w:rFonts w:eastAsia="Times New Roman"/>
          <w:i/>
          <w:iCs/>
          <w:kern w:val="0"/>
          <w:szCs w:val="28"/>
          <w:lang w:bidi="en-US"/>
          <w14:ligatures w14:val="none"/>
        </w:rPr>
        <w:t>Cycle History</w:t>
      </w:r>
      <w:r w:rsidRPr="00E27DAE">
        <w:rPr>
          <w:rFonts w:eastAsia="Times New Roman"/>
          <w:kern w:val="0"/>
          <w:szCs w:val="28"/>
          <w:lang w:bidi="en-US"/>
          <w14:ligatures w14:val="none"/>
        </w:rPr>
        <w:t xml:space="preserve"> 25.</w:t>
      </w:r>
    </w:p>
    <w:p w14:paraId="59F2A281"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C5105C8"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Richmond Times</w:t>
      </w:r>
      <w:r w:rsidRPr="00E27DAE">
        <w:rPr>
          <w:rFonts w:eastAsia="Times New Roman"/>
          <w:kern w:val="0"/>
          <w:szCs w:val="28"/>
          <w:lang w:bidi="en-US"/>
          <w14:ligatures w14:val="none"/>
        </w:rPr>
        <w:t>, 15 May 1976.</w:t>
      </w:r>
    </w:p>
    <w:p w14:paraId="5B57981B"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A732477"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Norfolk Virginian-Pilot</w:t>
      </w:r>
      <w:r w:rsidRPr="00E27DAE">
        <w:rPr>
          <w:rFonts w:eastAsia="Times New Roman"/>
          <w:kern w:val="0"/>
          <w:szCs w:val="28"/>
          <w:lang w:bidi="en-US"/>
          <w14:ligatures w14:val="none"/>
        </w:rPr>
        <w:t>, 17 May 1976.</w:t>
      </w:r>
    </w:p>
    <w:p w14:paraId="3E4ACF3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6FC0642"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Dan D’Ambrosio, “Bikecentennial: Summer of 1976,” (2019).</w:t>
      </w:r>
    </w:p>
    <w:p w14:paraId="1D89024C" w14:textId="77777777" w:rsidR="00E27DAE" w:rsidRPr="00E27DAE" w:rsidRDefault="00E27DAE" w:rsidP="00E27DAE">
      <w:pPr>
        <w:spacing w:after="0" w:line="240" w:lineRule="auto"/>
        <w:contextualSpacing/>
        <w:rPr>
          <w:rFonts w:eastAsia="Times New Roman"/>
          <w:kern w:val="0"/>
          <w:szCs w:val="28"/>
          <w:lang w:bidi="en-US"/>
          <w14:ligatures w14:val="none"/>
        </w:rPr>
      </w:pPr>
      <w:hyperlink r:id="rId19" w:history="1">
        <w:r w:rsidRPr="00E27DAE">
          <w:rPr>
            <w:rFonts w:eastAsia="Times New Roman"/>
            <w:color w:val="0000FF"/>
            <w:kern w:val="0"/>
            <w:szCs w:val="28"/>
            <w:u w:val="single"/>
            <w:lang w:bidi="en-US"/>
            <w14:ligatures w14:val="none"/>
          </w:rPr>
          <w:t>https://www.adventurecycling.org/blog/bikecentennial-summer-of-1976/</w:t>
        </w:r>
      </w:hyperlink>
    </w:p>
    <w:p w14:paraId="2C29DBCD"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CE2182B"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“TransAmerica Bicycle Trail,” </w:t>
      </w:r>
      <w:hyperlink r:id="rId20" w:history="1">
        <w:r w:rsidRPr="00E27DAE">
          <w:rPr>
            <w:rFonts w:eastAsia="Times New Roman"/>
            <w:color w:val="0000FF"/>
            <w:kern w:val="0"/>
            <w:szCs w:val="28"/>
            <w:u w:val="single"/>
            <w:lang w:bidi="en-US"/>
            <w14:ligatures w14:val="none"/>
          </w:rPr>
          <w:t>https://www.visitroanokeva.com/biking/road-biking-cycling/transamerica-bicycle-trail/</w:t>
        </w:r>
      </w:hyperlink>
    </w:p>
    <w:p w14:paraId="68C61B83"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31A4E07"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“Bike Route 76 Corridor Study,” Thomas Jefferson Planning District Commission (2015).</w:t>
      </w:r>
    </w:p>
    <w:p w14:paraId="7330296C"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9B20DFF"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Jack Freidenrich, “Biking by Route Number,” </w:t>
      </w:r>
      <w:r w:rsidRPr="00E27DAE">
        <w:rPr>
          <w:rFonts w:eastAsia="Times New Roman"/>
          <w:i/>
          <w:iCs/>
          <w:kern w:val="0"/>
          <w:szCs w:val="28"/>
          <w:lang w:bidi="en-US"/>
          <w14:ligatures w14:val="none"/>
        </w:rPr>
        <w:t>AASHTO Quarterly</w:t>
      </w:r>
      <w:r w:rsidRPr="00E27DAE">
        <w:rPr>
          <w:rFonts w:eastAsia="Times New Roman"/>
          <w:kern w:val="0"/>
          <w:szCs w:val="28"/>
          <w:lang w:bidi="en-US"/>
          <w14:ligatures w14:val="none"/>
        </w:rPr>
        <w:t xml:space="preserve"> (Oct. 1982).</w:t>
      </w:r>
    </w:p>
    <w:p w14:paraId="5ECFA98E"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FA8961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1929A3D" w14:textId="77777777" w:rsidR="00E27DAE" w:rsidRPr="00E27DAE" w:rsidRDefault="00E27DAE" w:rsidP="00E27DAE">
      <w:pPr>
        <w:spacing w:after="0" w:line="240" w:lineRule="auto"/>
        <w:contextualSpacing/>
        <w:rPr>
          <w:rFonts w:eastAsia="Times New Roman"/>
          <w:b/>
          <w:kern w:val="0"/>
          <w:szCs w:val="28"/>
          <w:u w:val="single"/>
          <w:lang w:bidi="en-US"/>
          <w14:ligatures w14:val="none"/>
        </w:rPr>
      </w:pPr>
      <w:r w:rsidRPr="00E27DAE">
        <w:rPr>
          <w:rFonts w:eastAsia="Times New Roman"/>
          <w:b/>
          <w:kern w:val="0"/>
          <w:szCs w:val="28"/>
          <w:u w:val="single"/>
          <w:lang w:bidi="en-US"/>
          <w14:ligatures w14:val="none"/>
        </w:rPr>
        <w:t>Replacement Markers</w:t>
      </w:r>
    </w:p>
    <w:p w14:paraId="5034049B"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76A17E1B"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1.) Gen. Edward Stevens (ca. 1745-1820) G-10</w:t>
      </w:r>
    </w:p>
    <w:p w14:paraId="2C6FBCCF"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DHR</w:t>
      </w:r>
    </w:p>
    <w:p w14:paraId="55AB135C"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Town of Culpeper</w:t>
      </w:r>
    </w:p>
    <w:p w14:paraId="1F12992D"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N. Main Street at intersection with Carpenter Drive</w:t>
      </w:r>
    </w:p>
    <w:p w14:paraId="278B0447" w14:textId="77777777" w:rsidR="00E27DAE" w:rsidRPr="00E27DAE" w:rsidRDefault="00E27DAE" w:rsidP="00E27DAE">
      <w:pPr>
        <w:spacing w:after="0" w:line="240" w:lineRule="auto"/>
        <w:contextualSpacing/>
        <w:rPr>
          <w:rFonts w:eastAsia="Times New Roman"/>
          <w:kern w:val="0"/>
          <w:lang w:bidi="en-US"/>
          <w14:ligatures w14:val="none"/>
        </w:rPr>
      </w:pPr>
    </w:p>
    <w:p w14:paraId="1B2FE2B9"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17199F43" w14:textId="77777777" w:rsidR="00E27DAE" w:rsidRPr="00E27DAE" w:rsidRDefault="00E27DAE" w:rsidP="00E27DAE">
      <w:pPr>
        <w:spacing w:after="0" w:line="240" w:lineRule="auto"/>
        <w:rPr>
          <w:rFonts w:eastAsia="Times New Roman"/>
          <w:kern w:val="0"/>
          <w:lang w:bidi="en-US"/>
          <w14:ligatures w14:val="none"/>
        </w:rPr>
      </w:pPr>
    </w:p>
    <w:p w14:paraId="4CFF8ED4"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General Edward Stevens</w:t>
      </w:r>
    </w:p>
    <w:p w14:paraId="03172B6B"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2AE95787"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kern w:val="0"/>
          <w:lang w:bidi="en-US"/>
          <w14:ligatures w14:val="none"/>
        </w:rPr>
        <w:t>Here is buried General Edward Stevens, who served at Brandywine, Camden, Guilford Courthouse and Yorktown. He died on August 17, 1820.</w:t>
      </w:r>
    </w:p>
    <w:p w14:paraId="54CF9D9A" w14:textId="77777777" w:rsidR="00E27DAE" w:rsidRPr="00E27DAE" w:rsidRDefault="00E27DAE" w:rsidP="00E27DAE">
      <w:pPr>
        <w:spacing w:after="0" w:line="240" w:lineRule="auto"/>
        <w:contextualSpacing/>
        <w:rPr>
          <w:rFonts w:eastAsia="Times New Roman"/>
          <w:kern w:val="0"/>
          <w:lang w:bidi="en-US"/>
          <w14:ligatures w14:val="none"/>
        </w:rPr>
      </w:pPr>
    </w:p>
    <w:p w14:paraId="3BDDF955"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21 words/ 134 characters</w:t>
      </w:r>
    </w:p>
    <w:p w14:paraId="4DB30A4B" w14:textId="77777777" w:rsidR="00E27DAE" w:rsidRPr="00E27DAE" w:rsidRDefault="00E27DAE" w:rsidP="00E27DAE">
      <w:pPr>
        <w:spacing w:after="0" w:line="240" w:lineRule="auto"/>
        <w:contextualSpacing/>
        <w:rPr>
          <w:rFonts w:eastAsia="Times New Roman"/>
          <w:b/>
          <w:kern w:val="0"/>
          <w:lang w:bidi="en-US"/>
          <w14:ligatures w14:val="none"/>
        </w:rPr>
      </w:pPr>
    </w:p>
    <w:p w14:paraId="689EC5F8" w14:textId="77777777" w:rsidR="00E27DAE" w:rsidRPr="00E27DAE" w:rsidRDefault="00E27DAE" w:rsidP="00E27DAE">
      <w:pPr>
        <w:spacing w:after="0" w:line="240" w:lineRule="auto"/>
        <w:rPr>
          <w:rFonts w:eastAsia="Times New Roman"/>
          <w:b/>
          <w:kern w:val="0"/>
          <w:szCs w:val="28"/>
          <w:lang w:bidi="en-US"/>
          <w14:ligatures w14:val="none"/>
        </w:rPr>
      </w:pPr>
    </w:p>
    <w:p w14:paraId="2E1DBC6C"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45D24257" w14:textId="77777777" w:rsidR="00E27DAE" w:rsidRPr="00E27DAE" w:rsidRDefault="00E27DAE" w:rsidP="00E27DAE">
      <w:pPr>
        <w:spacing w:after="0" w:line="240" w:lineRule="auto"/>
        <w:rPr>
          <w:rFonts w:eastAsia="Times New Roman"/>
          <w:b/>
          <w:kern w:val="0"/>
          <w:szCs w:val="28"/>
          <w:lang w:bidi="en-US"/>
          <w14:ligatures w14:val="none"/>
        </w:rPr>
      </w:pPr>
    </w:p>
    <w:p w14:paraId="2E47EBE8"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Gen. Edward Stevens (ca. 1745-1820)</w:t>
      </w:r>
    </w:p>
    <w:p w14:paraId="1831F721" w14:textId="77777777" w:rsidR="00E27DAE" w:rsidRPr="00E27DAE" w:rsidRDefault="00E27DAE" w:rsidP="00E27DAE">
      <w:pPr>
        <w:spacing w:after="0" w:line="240" w:lineRule="auto"/>
        <w:jc w:val="both"/>
        <w:rPr>
          <w:rFonts w:eastAsia="Times New Roman"/>
          <w:kern w:val="0"/>
          <w:lang w:bidi="en-US"/>
          <w14:ligatures w14:val="none"/>
        </w:rPr>
      </w:pPr>
    </w:p>
    <w:p w14:paraId="4FE26A47" w14:textId="354E82CC"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lastRenderedPageBreak/>
        <w:t xml:space="preserve">Here is buried Edward Stevens, an officer in the Revolutionary War and a longtime resident of Culpeper. As lieutenant colonel of the Culpeper Minute Men, he led a sharp attack on the British at the Battle of Great Bridge on 9 Dec. 1775. He next served in the Continental Line as colonel of the 10th Virginia Infantry and fought in the Battles of Brandywine and Germantown in 1777. Later appointed a brigadier general of the Virginia militia, he led troops in the Battle of Camden in 1780, was wounded at Guilford Court House in 1781, and was present at the </w:t>
      </w:r>
      <w:r w:rsidR="00A06952">
        <w:rPr>
          <w:rFonts w:eastAsia="Times New Roman"/>
          <w:kern w:val="0"/>
          <w:lang w:bidi="en-US"/>
          <w14:ligatures w14:val="none"/>
        </w:rPr>
        <w:t>S</w:t>
      </w:r>
      <w:r w:rsidRPr="00E27DAE">
        <w:rPr>
          <w:rFonts w:eastAsia="Times New Roman"/>
          <w:kern w:val="0"/>
          <w:lang w:bidi="en-US"/>
          <w14:ligatures w14:val="none"/>
        </w:rPr>
        <w:t>iege of Yorktown. Stevens represented Spotsylvania, Orange, and Culpeper in the Senate of Virginia during most sessions between 1776 and 1790.</w:t>
      </w:r>
    </w:p>
    <w:p w14:paraId="3C1415F6" w14:textId="77777777" w:rsidR="00E27DAE" w:rsidRPr="00E27DAE" w:rsidRDefault="00E27DAE" w:rsidP="00E27DAE">
      <w:pPr>
        <w:spacing w:after="0" w:line="240" w:lineRule="auto"/>
        <w:jc w:val="both"/>
        <w:rPr>
          <w:rFonts w:eastAsia="Times New Roman"/>
          <w:kern w:val="0"/>
          <w:lang w:bidi="en-US"/>
          <w14:ligatures w14:val="none"/>
        </w:rPr>
      </w:pPr>
    </w:p>
    <w:p w14:paraId="699B54FB"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121 words/ 700 characters</w:t>
      </w:r>
    </w:p>
    <w:p w14:paraId="0718207E" w14:textId="77777777" w:rsidR="00E27DAE" w:rsidRPr="00E27DAE" w:rsidRDefault="00E27DAE" w:rsidP="00E27DAE">
      <w:pPr>
        <w:spacing w:after="0" w:line="240" w:lineRule="auto"/>
        <w:jc w:val="both"/>
        <w:rPr>
          <w:rFonts w:eastAsia="Times New Roman"/>
          <w:kern w:val="0"/>
          <w:lang w:bidi="en-US"/>
          <w14:ligatures w14:val="none"/>
        </w:rPr>
      </w:pPr>
    </w:p>
    <w:p w14:paraId="43A32630" w14:textId="77777777" w:rsidR="00E27DAE" w:rsidRPr="00E27DAE" w:rsidRDefault="00E27DAE" w:rsidP="00E27DAE">
      <w:pPr>
        <w:spacing w:after="0" w:line="240" w:lineRule="auto"/>
        <w:rPr>
          <w:rFonts w:eastAsia="Times New Roman"/>
          <w:kern w:val="0"/>
          <w:szCs w:val="28"/>
          <w:lang w:bidi="en-US"/>
          <w14:ligatures w14:val="none"/>
        </w:rPr>
      </w:pPr>
    </w:p>
    <w:p w14:paraId="64FCE3EA"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54C0781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76CC4D17"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Founders Online: </w:t>
      </w:r>
      <w:bookmarkStart w:id="8" w:name="_Hlk203563929"/>
      <w:r w:rsidRPr="00E27DAE">
        <w:rPr>
          <w:rFonts w:ascii="Calibri" w:eastAsia="Times New Roman" w:hAnsi="Calibri"/>
          <w:kern w:val="0"/>
          <w:lang w:bidi="en-US"/>
          <w14:ligatures w14:val="none"/>
        </w:rPr>
        <w:fldChar w:fldCharType="begin"/>
      </w:r>
      <w:r w:rsidRPr="00E27DAE">
        <w:rPr>
          <w:rFonts w:ascii="Calibri" w:eastAsia="Times New Roman" w:hAnsi="Calibri"/>
          <w:kern w:val="0"/>
          <w:lang w:bidi="en-US"/>
          <w14:ligatures w14:val="none"/>
        </w:rPr>
        <w:instrText>HYPERLINK "https://founders.archives.gov/documents/Washington/03-09-02-0431"</w:instrText>
      </w:r>
      <w:r w:rsidRPr="00E27DAE">
        <w:rPr>
          <w:rFonts w:ascii="Calibri" w:eastAsia="Times New Roman" w:hAnsi="Calibri"/>
          <w:kern w:val="0"/>
          <w:lang w:bidi="en-US"/>
          <w14:ligatures w14:val="none"/>
        </w:rPr>
      </w:r>
      <w:r w:rsidRPr="00E27DAE">
        <w:rPr>
          <w:rFonts w:ascii="Calibri" w:eastAsia="Times New Roman" w:hAnsi="Calibri"/>
          <w:kern w:val="0"/>
          <w:lang w:bidi="en-US"/>
          <w14:ligatures w14:val="none"/>
        </w:rPr>
        <w:fldChar w:fldCharType="separate"/>
      </w:r>
      <w:r w:rsidRPr="00E27DAE">
        <w:rPr>
          <w:rFonts w:eastAsia="Times New Roman"/>
          <w:color w:val="0000FF"/>
          <w:kern w:val="0"/>
          <w:szCs w:val="28"/>
          <w:u w:val="single"/>
          <w:lang w:bidi="en-US"/>
          <w14:ligatures w14:val="none"/>
        </w:rPr>
        <w:t>https://founders.archives.gov/documents/Washington/03-09-02-0431</w:t>
      </w:r>
      <w:r w:rsidRPr="00E27DAE">
        <w:rPr>
          <w:rFonts w:ascii="Calibri" w:eastAsia="Times New Roman" w:hAnsi="Calibri"/>
          <w:kern w:val="0"/>
          <w:lang w:bidi="en-US"/>
          <w14:ligatures w14:val="none"/>
        </w:rPr>
        <w:fldChar w:fldCharType="end"/>
      </w:r>
    </w:p>
    <w:bookmarkEnd w:id="8"/>
    <w:p w14:paraId="16B66EC8"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FC4B935"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John H. Gwathmey, </w:t>
      </w:r>
      <w:r w:rsidRPr="00E27DAE">
        <w:rPr>
          <w:rFonts w:eastAsia="Times New Roman"/>
          <w:i/>
          <w:iCs/>
          <w:kern w:val="0"/>
          <w:szCs w:val="28"/>
          <w:lang w:bidi="en-US"/>
          <w14:ligatures w14:val="none"/>
        </w:rPr>
        <w:t>Historical Register of Virginians in the Revolution</w:t>
      </w:r>
      <w:r w:rsidRPr="00E27DAE">
        <w:rPr>
          <w:rFonts w:eastAsia="Times New Roman"/>
          <w:kern w:val="0"/>
          <w:szCs w:val="28"/>
          <w:lang w:bidi="en-US"/>
          <w14:ligatures w14:val="none"/>
        </w:rPr>
        <w:t xml:space="preserve"> (Richmond: The Dietz Press, 1938).</w:t>
      </w:r>
    </w:p>
    <w:p w14:paraId="69021C30"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1005A0C"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Mary Stevens Jones, comp. and ed., </w:t>
      </w:r>
      <w:r w:rsidRPr="00E27DAE">
        <w:rPr>
          <w:rFonts w:eastAsia="Times New Roman"/>
          <w:i/>
          <w:iCs/>
          <w:kern w:val="0"/>
          <w:szCs w:val="28"/>
          <w:lang w:bidi="en-US"/>
          <w14:ligatures w14:val="none"/>
        </w:rPr>
        <w:t>An 18th Century Perspective: Culpeper County</w:t>
      </w:r>
      <w:r w:rsidRPr="00E27DAE">
        <w:rPr>
          <w:rFonts w:eastAsia="Times New Roman"/>
          <w:kern w:val="0"/>
          <w:szCs w:val="28"/>
          <w:lang w:bidi="en-US"/>
          <w14:ligatures w14:val="none"/>
        </w:rPr>
        <w:t xml:space="preserve"> (Culpeper: Culpeper Historical Society, Inc., 1976).</w:t>
      </w:r>
    </w:p>
    <w:p w14:paraId="558B347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8684BE3"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Harry M. Ward, </w:t>
      </w:r>
      <w:r w:rsidRPr="00E27DAE">
        <w:rPr>
          <w:rFonts w:eastAsia="Times New Roman"/>
          <w:i/>
          <w:iCs/>
          <w:kern w:val="0"/>
          <w:szCs w:val="28"/>
          <w:lang w:bidi="en-US"/>
          <w14:ligatures w14:val="none"/>
        </w:rPr>
        <w:t>For Virginia and for Independence: Twenty-Eight Revolutionary War Soldiers from the Old Dominion</w:t>
      </w:r>
      <w:r w:rsidRPr="00E27DAE">
        <w:rPr>
          <w:rFonts w:eastAsia="Times New Roman"/>
          <w:kern w:val="0"/>
          <w:szCs w:val="28"/>
          <w:lang w:bidi="en-US"/>
          <w14:ligatures w14:val="none"/>
        </w:rPr>
        <w:t xml:space="preserve"> (Jefferson, NC: McFarland &amp; Co., Inc., 2011).</w:t>
      </w:r>
    </w:p>
    <w:p w14:paraId="34342612"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FA55BE0"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Robert L. Scribner and Brent Tarter, comps. and eds., </w:t>
      </w:r>
      <w:r w:rsidRPr="00E27DAE">
        <w:rPr>
          <w:rFonts w:eastAsia="Times New Roman"/>
          <w:i/>
          <w:iCs/>
          <w:kern w:val="0"/>
          <w:szCs w:val="28"/>
          <w:lang w:bidi="en-US"/>
          <w14:ligatures w14:val="none"/>
        </w:rPr>
        <w:t>Revolutionary Virginia: The Road to Independence</w:t>
      </w:r>
      <w:r w:rsidRPr="00E27DAE">
        <w:rPr>
          <w:rFonts w:eastAsia="Times New Roman"/>
          <w:kern w:val="0"/>
          <w:szCs w:val="28"/>
          <w:lang w:bidi="en-US"/>
          <w14:ligatures w14:val="none"/>
        </w:rPr>
        <w:t>, vol. 5 (Charlottesville: University Press of Virginia, 1979).</w:t>
      </w:r>
    </w:p>
    <w:p w14:paraId="15C28A5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34165D8"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Will of Edward Stevens, 1 June 1820.</w:t>
      </w:r>
    </w:p>
    <w:p w14:paraId="5EED0B8C"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6E0F245"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EBB16EF"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2.) Pisgah United Methodist Church X-25</w:t>
      </w:r>
    </w:p>
    <w:p w14:paraId="2A6BAECF"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VDOT</w:t>
      </w:r>
    </w:p>
    <w:p w14:paraId="001E08D4"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Tazewell County</w:t>
      </w:r>
    </w:p>
    <w:p w14:paraId="1B456763"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US 460/19 (Trail of the Lonesome Pine) at intersection with Orchard Road</w:t>
      </w:r>
    </w:p>
    <w:p w14:paraId="509C078C" w14:textId="77777777" w:rsidR="00E27DAE" w:rsidRPr="00E27DAE" w:rsidRDefault="00E27DAE" w:rsidP="00E27DAE">
      <w:pPr>
        <w:spacing w:after="0" w:line="240" w:lineRule="auto"/>
        <w:contextualSpacing/>
        <w:rPr>
          <w:rFonts w:eastAsia="Times New Roman"/>
          <w:kern w:val="0"/>
          <w:lang w:bidi="en-US"/>
          <w14:ligatures w14:val="none"/>
        </w:rPr>
      </w:pPr>
    </w:p>
    <w:p w14:paraId="0CDA7222"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335947E3" w14:textId="77777777" w:rsidR="00E27DAE" w:rsidRPr="00E27DAE" w:rsidRDefault="00E27DAE" w:rsidP="00E27DAE">
      <w:pPr>
        <w:spacing w:after="0" w:line="240" w:lineRule="auto"/>
        <w:rPr>
          <w:rFonts w:eastAsia="Times New Roman"/>
          <w:kern w:val="0"/>
          <w:lang w:bidi="en-US"/>
          <w14:ligatures w14:val="none"/>
        </w:rPr>
      </w:pPr>
    </w:p>
    <w:p w14:paraId="03279886"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Pisgah United Methodist Church</w:t>
      </w:r>
    </w:p>
    <w:p w14:paraId="211303FB"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718C699B" w14:textId="77777777" w:rsidR="00E27DAE" w:rsidRPr="00E27DAE" w:rsidRDefault="00E27DAE" w:rsidP="00E27DAE">
      <w:pPr>
        <w:spacing w:after="0" w:line="240" w:lineRule="auto"/>
        <w:rPr>
          <w:rFonts w:eastAsia="Times New Roman"/>
          <w:kern w:val="0"/>
          <w:lang w:bidi="en-US"/>
          <w14:ligatures w14:val="none"/>
        </w:rPr>
      </w:pPr>
      <w:bookmarkStart w:id="9" w:name="_Hlk203386574"/>
      <w:r w:rsidRPr="00E27DAE">
        <w:rPr>
          <w:rFonts w:eastAsia="Times New Roman"/>
          <w:kern w:val="0"/>
          <w:lang w:bidi="en-US"/>
          <w14:ligatures w14:val="none"/>
        </w:rPr>
        <w:t>The Reverend John Kobler preached the first sermon by a Methodist in Tazewell County here in 1793 and received eleven members into the church. The church building, constructed on a parcel of land donated by Thomas Peery, was the first church of any denomination in the county. The construction of the Clinch Valley Railroad in 1889 necessitated the relocation of the church to its present site. Pisgah is the mother church of numerous Methodist and later United Methodist congregations and ministers.</w:t>
      </w:r>
      <w:bookmarkEnd w:id="9"/>
    </w:p>
    <w:p w14:paraId="32BC63B5" w14:textId="77777777" w:rsidR="00E27DAE" w:rsidRPr="00E27DAE" w:rsidRDefault="00E27DAE" w:rsidP="00E27DAE">
      <w:pPr>
        <w:spacing w:after="0" w:line="240" w:lineRule="auto"/>
        <w:contextualSpacing/>
        <w:rPr>
          <w:rFonts w:eastAsia="Times New Roman"/>
          <w:kern w:val="0"/>
          <w:lang w:bidi="en-US"/>
          <w14:ligatures w14:val="none"/>
        </w:rPr>
      </w:pPr>
    </w:p>
    <w:p w14:paraId="0049EF19"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81 words/ 500 characters</w:t>
      </w:r>
    </w:p>
    <w:p w14:paraId="2F664B7A" w14:textId="77777777" w:rsidR="00E27DAE" w:rsidRPr="00E27DAE" w:rsidRDefault="00E27DAE" w:rsidP="00E27DAE">
      <w:pPr>
        <w:spacing w:after="0" w:line="240" w:lineRule="auto"/>
        <w:contextualSpacing/>
        <w:rPr>
          <w:rFonts w:eastAsia="Times New Roman"/>
          <w:b/>
          <w:kern w:val="0"/>
          <w:lang w:bidi="en-US"/>
          <w14:ligatures w14:val="none"/>
        </w:rPr>
      </w:pPr>
    </w:p>
    <w:p w14:paraId="026A6669" w14:textId="77777777" w:rsidR="00E27DAE" w:rsidRPr="00E27DAE" w:rsidRDefault="00E27DAE" w:rsidP="00E27DAE">
      <w:pPr>
        <w:spacing w:after="0" w:line="240" w:lineRule="auto"/>
        <w:rPr>
          <w:rFonts w:eastAsia="Times New Roman"/>
          <w:b/>
          <w:kern w:val="0"/>
          <w:szCs w:val="28"/>
          <w:lang w:bidi="en-US"/>
          <w14:ligatures w14:val="none"/>
        </w:rPr>
      </w:pPr>
    </w:p>
    <w:p w14:paraId="46E778E6"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3915F696" w14:textId="77777777" w:rsidR="00E27DAE" w:rsidRPr="00E27DAE" w:rsidRDefault="00E27DAE" w:rsidP="00E27DAE">
      <w:pPr>
        <w:spacing w:after="0" w:line="240" w:lineRule="auto"/>
        <w:rPr>
          <w:rFonts w:eastAsia="Times New Roman"/>
          <w:b/>
          <w:kern w:val="0"/>
          <w:szCs w:val="28"/>
          <w:lang w:bidi="en-US"/>
          <w14:ligatures w14:val="none"/>
        </w:rPr>
      </w:pPr>
    </w:p>
    <w:p w14:paraId="1AA1999C"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Pisgah United Methodist Church</w:t>
      </w:r>
    </w:p>
    <w:p w14:paraId="448EA33A" w14:textId="77777777" w:rsidR="00E27DAE" w:rsidRPr="00E27DAE" w:rsidRDefault="00E27DAE" w:rsidP="00E27DAE">
      <w:pPr>
        <w:spacing w:after="0" w:line="240" w:lineRule="auto"/>
        <w:jc w:val="both"/>
        <w:rPr>
          <w:rFonts w:eastAsia="Times New Roman"/>
          <w:kern w:val="0"/>
          <w:lang w:bidi="en-US"/>
          <w14:ligatures w14:val="none"/>
        </w:rPr>
      </w:pPr>
    </w:p>
    <w:p w14:paraId="2F18D2B2" w14:textId="3B73161F"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t xml:space="preserve">Near here in 1793, the Rev. John Kobler preached the first sermon by a Methodist in what is now Tazewell County. As a result, a new congregation </w:t>
      </w:r>
      <w:r w:rsidR="00A06952">
        <w:rPr>
          <w:rFonts w:eastAsia="Times New Roman"/>
          <w:kern w:val="0"/>
          <w:lang w:bidi="en-US"/>
          <w14:ligatures w14:val="none"/>
        </w:rPr>
        <w:t xml:space="preserve">was </w:t>
      </w:r>
      <w:r w:rsidRPr="00E27DAE">
        <w:rPr>
          <w:rFonts w:eastAsia="Times New Roman"/>
          <w:kern w:val="0"/>
          <w:lang w:bidi="en-US"/>
          <w14:ligatures w14:val="none"/>
        </w:rPr>
        <w:t>formed with nine White and two enslaved Black members. The church building, constructed across the Clinch River just northwest of here on land donated by Thomas Peery, was the first church of any denomination in the county. The construction of the Clinch Valley Railroad between 1887 and 1889 necessitated the relocation of the church to its present site, just north of here. Pisgah is the mother church of numerous Tazewell County congregations and ministers.</w:t>
      </w:r>
    </w:p>
    <w:p w14:paraId="6657BC58" w14:textId="77777777" w:rsidR="00E27DAE" w:rsidRPr="00E27DAE" w:rsidRDefault="00E27DAE" w:rsidP="00E27DAE">
      <w:pPr>
        <w:spacing w:after="0" w:line="240" w:lineRule="auto"/>
        <w:jc w:val="both"/>
        <w:rPr>
          <w:rFonts w:eastAsia="Times New Roman"/>
          <w:kern w:val="0"/>
          <w:lang w:bidi="en-US"/>
          <w14:ligatures w14:val="none"/>
        </w:rPr>
      </w:pPr>
    </w:p>
    <w:p w14:paraId="4EE17953" w14:textId="0DA82CDF"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10</w:t>
      </w:r>
      <w:r w:rsidR="00A06952">
        <w:rPr>
          <w:rFonts w:eastAsia="Times New Roman"/>
          <w:b/>
          <w:kern w:val="0"/>
          <w:szCs w:val="28"/>
          <w:lang w:bidi="en-US"/>
          <w14:ligatures w14:val="none"/>
        </w:rPr>
        <w:t>2</w:t>
      </w:r>
      <w:r w:rsidRPr="00E27DAE">
        <w:rPr>
          <w:rFonts w:eastAsia="Times New Roman"/>
          <w:b/>
          <w:kern w:val="0"/>
          <w:szCs w:val="28"/>
          <w:lang w:bidi="en-US"/>
          <w14:ligatures w14:val="none"/>
        </w:rPr>
        <w:t xml:space="preserve"> words/ 60</w:t>
      </w:r>
      <w:r w:rsidR="00A06952">
        <w:rPr>
          <w:rFonts w:eastAsia="Times New Roman"/>
          <w:b/>
          <w:kern w:val="0"/>
          <w:szCs w:val="28"/>
          <w:lang w:bidi="en-US"/>
          <w14:ligatures w14:val="none"/>
        </w:rPr>
        <w:t>9</w:t>
      </w:r>
      <w:r w:rsidRPr="00E27DAE">
        <w:rPr>
          <w:rFonts w:eastAsia="Times New Roman"/>
          <w:b/>
          <w:kern w:val="0"/>
          <w:szCs w:val="28"/>
          <w:lang w:bidi="en-US"/>
          <w14:ligatures w14:val="none"/>
        </w:rPr>
        <w:t xml:space="preserve"> characters</w:t>
      </w:r>
    </w:p>
    <w:p w14:paraId="3AF83A92" w14:textId="77777777" w:rsidR="00E27DAE" w:rsidRPr="00E27DAE" w:rsidRDefault="00E27DAE" w:rsidP="00E27DAE">
      <w:pPr>
        <w:spacing w:after="0" w:line="240" w:lineRule="auto"/>
        <w:rPr>
          <w:rFonts w:eastAsia="Times New Roman"/>
          <w:kern w:val="0"/>
          <w:szCs w:val="28"/>
          <w:lang w:bidi="en-US"/>
          <w14:ligatures w14:val="none"/>
        </w:rPr>
      </w:pPr>
    </w:p>
    <w:p w14:paraId="5FEBCF93" w14:textId="77777777" w:rsidR="00E27DAE" w:rsidRPr="00E27DAE" w:rsidRDefault="00E27DAE" w:rsidP="00E27DAE">
      <w:pPr>
        <w:spacing w:after="0" w:line="240" w:lineRule="auto"/>
        <w:rPr>
          <w:rFonts w:eastAsia="Times New Roman"/>
          <w:kern w:val="0"/>
          <w:szCs w:val="28"/>
          <w:lang w:bidi="en-US"/>
          <w14:ligatures w14:val="none"/>
        </w:rPr>
      </w:pPr>
    </w:p>
    <w:p w14:paraId="748720C0"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7F006A98"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E064B5E"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Terry W. Mullins, </w:t>
      </w:r>
      <w:r w:rsidRPr="00E27DAE">
        <w:rPr>
          <w:rFonts w:eastAsia="Times New Roman"/>
          <w:i/>
          <w:iCs/>
          <w:kern w:val="0"/>
          <w:szCs w:val="28"/>
          <w:lang w:bidi="en-US"/>
          <w14:ligatures w14:val="none"/>
        </w:rPr>
        <w:t>Pisgah United Methodist Church: Two Centuries of Faith, 1793-1993</w:t>
      </w:r>
      <w:r w:rsidRPr="00E27DAE">
        <w:rPr>
          <w:rFonts w:eastAsia="Times New Roman"/>
          <w:kern w:val="0"/>
          <w:szCs w:val="28"/>
          <w:lang w:bidi="en-US"/>
          <w14:ligatures w14:val="none"/>
        </w:rPr>
        <w:t xml:space="preserve"> (Acton, MA: Tapestry Press, 1993).</w:t>
      </w:r>
    </w:p>
    <w:p w14:paraId="6286429E"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3B68FB3"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Pisgah Church homecoming bulletin covers, 1940, 1962.</w:t>
      </w:r>
    </w:p>
    <w:p w14:paraId="1DB399E0"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0E22E3AB" w14:textId="77777777" w:rsidR="00E27DAE" w:rsidRPr="00E27DAE" w:rsidRDefault="00E27DAE" w:rsidP="00E27DAE">
      <w:pPr>
        <w:spacing w:after="0" w:line="240" w:lineRule="auto"/>
        <w:contextualSpacing/>
        <w:rPr>
          <w:rFonts w:eastAsia="Times New Roman"/>
          <w:iCs/>
          <w:kern w:val="0"/>
          <w:szCs w:val="28"/>
          <w:lang w:bidi="en-US"/>
          <w14:ligatures w14:val="none"/>
        </w:rPr>
      </w:pPr>
      <w:r w:rsidRPr="00E27DAE">
        <w:rPr>
          <w:rFonts w:eastAsia="Times New Roman"/>
          <w:kern w:val="0"/>
          <w:lang w:bidi="en-US"/>
          <w14:ligatures w14:val="none"/>
        </w:rPr>
        <w:t xml:space="preserve">George W. L. Bickley, </w:t>
      </w:r>
      <w:r w:rsidRPr="00E27DAE">
        <w:rPr>
          <w:rFonts w:eastAsia="Times New Roman"/>
          <w:i/>
          <w:kern w:val="0"/>
          <w:lang w:bidi="en-US"/>
          <w14:ligatures w14:val="none"/>
        </w:rPr>
        <w:t>History of the Settlement and Indian Wars of Tazewell County Virginia</w:t>
      </w:r>
      <w:r w:rsidRPr="00E27DAE">
        <w:rPr>
          <w:rFonts w:eastAsia="Times New Roman"/>
          <w:iCs/>
          <w:kern w:val="0"/>
          <w:lang w:bidi="en-US"/>
          <w14:ligatures w14:val="none"/>
        </w:rPr>
        <w:t xml:space="preserve"> (Cincinnati: Morgan and Co., 1852).</w:t>
      </w:r>
    </w:p>
    <w:p w14:paraId="6B84E0EC"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3B5BAB7"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John Newton Harman Sr., </w:t>
      </w:r>
      <w:r w:rsidRPr="00E27DAE">
        <w:rPr>
          <w:rFonts w:eastAsia="Times New Roman"/>
          <w:i/>
          <w:iCs/>
          <w:kern w:val="0"/>
          <w:szCs w:val="28"/>
          <w:lang w:bidi="en-US"/>
          <w14:ligatures w14:val="none"/>
        </w:rPr>
        <w:t>Annals of Tazewell County</w:t>
      </w:r>
      <w:r w:rsidRPr="00E27DAE">
        <w:rPr>
          <w:rFonts w:eastAsia="Times New Roman"/>
          <w:kern w:val="0"/>
          <w:szCs w:val="28"/>
          <w:lang w:bidi="en-US"/>
          <w14:ligatures w14:val="none"/>
        </w:rPr>
        <w:t>, vol. 2 (Richmond: W.C. Hill Printing Co., 1925).</w:t>
      </w:r>
    </w:p>
    <w:p w14:paraId="4DC8D76B"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CFD150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041BF893" w14:textId="7A8A3D80" w:rsidR="00E27DAE" w:rsidRPr="00E27DAE" w:rsidRDefault="00E27DAE" w:rsidP="00E27DAE">
      <w:pPr>
        <w:spacing w:after="0" w:line="240" w:lineRule="auto"/>
        <w:rPr>
          <w:rFonts w:eastAsia="Calibri"/>
          <w:b/>
          <w:bCs/>
          <w14:ligatures w14:val="none"/>
        </w:rPr>
      </w:pPr>
      <w:r w:rsidRPr="00E27DAE">
        <w:rPr>
          <w:rFonts w:eastAsia="Calibri"/>
          <w:b/>
          <w:bCs/>
          <w14:ligatures w14:val="none"/>
        </w:rPr>
        <w:t xml:space="preserve">3.) </w:t>
      </w:r>
      <w:r w:rsidR="001120C8">
        <w:rPr>
          <w:rFonts w:eastAsia="Calibri"/>
          <w:b/>
          <w:bCs/>
          <w14:ligatures w14:val="none"/>
        </w:rPr>
        <w:t>Gabriel’s Uprising</w:t>
      </w:r>
      <w:r w:rsidRPr="00E27DAE">
        <w:rPr>
          <w:rFonts w:eastAsia="Calibri"/>
          <w:b/>
          <w:bCs/>
          <w14:ligatures w14:val="none"/>
        </w:rPr>
        <w:t xml:space="preserve"> SA-66</w:t>
      </w:r>
    </w:p>
    <w:p w14:paraId="401BC2C5" w14:textId="77777777" w:rsidR="00E27DAE" w:rsidRPr="00E27DAE" w:rsidRDefault="00E27DAE" w:rsidP="00E27DAE">
      <w:pPr>
        <w:spacing w:after="0" w:line="240" w:lineRule="auto"/>
        <w:rPr>
          <w:rFonts w:eastAsia="Calibri"/>
          <w:b/>
          <w:kern w:val="0"/>
          <w14:ligatures w14:val="none"/>
        </w:rPr>
      </w:pPr>
    </w:p>
    <w:p w14:paraId="040BCF38" w14:textId="77777777" w:rsidR="00E27DAE" w:rsidRPr="00E27DAE" w:rsidRDefault="00E27DAE" w:rsidP="00E27DAE">
      <w:pPr>
        <w:spacing w:after="0" w:line="240" w:lineRule="auto"/>
        <w:rPr>
          <w:rFonts w:eastAsia="Calibri"/>
          <w:kern w:val="0"/>
          <w14:ligatures w14:val="none"/>
        </w:rPr>
      </w:pPr>
      <w:r w:rsidRPr="00E27DAE">
        <w:rPr>
          <w:rFonts w:eastAsia="Calibri"/>
          <w:b/>
          <w:kern w:val="0"/>
          <w14:ligatures w14:val="none"/>
        </w:rPr>
        <w:t>Sponsor:</w:t>
      </w:r>
      <w:r w:rsidRPr="00E27DAE">
        <w:rPr>
          <w:rFonts w:eastAsia="Calibri"/>
          <w:kern w:val="0"/>
          <w14:ligatures w14:val="none"/>
        </w:rPr>
        <w:t xml:space="preserve"> DHR</w:t>
      </w:r>
    </w:p>
    <w:p w14:paraId="54194E0A" w14:textId="77777777" w:rsidR="00E27DAE" w:rsidRPr="00E27DAE" w:rsidRDefault="00E27DAE" w:rsidP="00E27DAE">
      <w:pPr>
        <w:spacing w:after="0" w:line="240" w:lineRule="auto"/>
        <w:rPr>
          <w:rFonts w:eastAsia="Calibri"/>
          <w:bCs/>
          <w:kern w:val="0"/>
          <w14:ligatures w14:val="none"/>
        </w:rPr>
      </w:pPr>
      <w:r w:rsidRPr="00E27DAE">
        <w:rPr>
          <w:rFonts w:eastAsia="Calibri"/>
          <w:b/>
          <w:kern w:val="0"/>
          <w14:ligatures w14:val="none"/>
        </w:rPr>
        <w:t xml:space="preserve">Locality: </w:t>
      </w:r>
      <w:r w:rsidRPr="00E27DAE">
        <w:rPr>
          <w:rFonts w:eastAsia="Calibri"/>
          <w:bCs/>
          <w:kern w:val="0"/>
          <w14:ligatures w14:val="none"/>
        </w:rPr>
        <w:t>City of Richmond</w:t>
      </w:r>
    </w:p>
    <w:p w14:paraId="69D3C666" w14:textId="77777777" w:rsidR="00E27DAE" w:rsidRPr="00E27DAE" w:rsidRDefault="00E27DAE" w:rsidP="00E27DAE">
      <w:pPr>
        <w:spacing w:after="0" w:line="240" w:lineRule="auto"/>
        <w:rPr>
          <w:rFonts w:eastAsia="Calibri"/>
          <w:bCs/>
          <w:kern w:val="0"/>
          <w14:ligatures w14:val="none"/>
        </w:rPr>
      </w:pPr>
      <w:r w:rsidRPr="00E27DAE">
        <w:rPr>
          <w:rFonts w:eastAsia="Calibri"/>
          <w:b/>
          <w:kern w:val="0"/>
          <w14:ligatures w14:val="none"/>
        </w:rPr>
        <w:t xml:space="preserve">Proposed Location: </w:t>
      </w:r>
      <w:r w:rsidRPr="00E27DAE">
        <w:rPr>
          <w:rFonts w:eastAsia="Calibri"/>
          <w:bCs/>
          <w:kern w:val="0"/>
          <w14:ligatures w14:val="none"/>
        </w:rPr>
        <w:t>Broad Street between I-95 and N. 16th Street</w:t>
      </w:r>
    </w:p>
    <w:p w14:paraId="7C6F1F0D" w14:textId="77777777" w:rsidR="00E27DAE" w:rsidRPr="00E27DAE" w:rsidRDefault="00E27DAE" w:rsidP="00E27DAE">
      <w:pPr>
        <w:spacing w:after="0" w:line="240" w:lineRule="auto"/>
        <w:rPr>
          <w:rFonts w:eastAsia="Calibri"/>
          <w:b/>
          <w:kern w:val="0"/>
          <w14:ligatures w14:val="none"/>
        </w:rPr>
      </w:pPr>
    </w:p>
    <w:p w14:paraId="4E073A6C" w14:textId="77777777" w:rsidR="00E27DAE" w:rsidRPr="00E27DAE" w:rsidRDefault="00E27DAE" w:rsidP="00E27DAE">
      <w:pPr>
        <w:spacing w:after="0" w:line="240" w:lineRule="auto"/>
        <w:rPr>
          <w:rFonts w:eastAsia="Calibri"/>
          <w:b/>
          <w:kern w:val="0"/>
          <w14:ligatures w14:val="none"/>
        </w:rPr>
      </w:pPr>
      <w:r w:rsidRPr="00E27DAE">
        <w:rPr>
          <w:rFonts w:eastAsia="Calibri"/>
          <w:b/>
          <w:kern w:val="0"/>
          <w14:ligatures w14:val="none"/>
        </w:rPr>
        <w:t>Original Text:</w:t>
      </w:r>
    </w:p>
    <w:p w14:paraId="06590F17" w14:textId="77777777" w:rsidR="00E27DAE" w:rsidRPr="00E27DAE" w:rsidRDefault="00E27DAE" w:rsidP="00E27DAE">
      <w:pPr>
        <w:spacing w:after="0" w:line="240" w:lineRule="auto"/>
        <w:rPr>
          <w:rFonts w:eastAsia="Calibri"/>
          <w:b/>
          <w:bCs/>
          <w14:ligatures w14:val="none"/>
        </w:rPr>
      </w:pPr>
    </w:p>
    <w:p w14:paraId="21A48E45" w14:textId="77777777" w:rsidR="00E27DAE" w:rsidRPr="00E27DAE" w:rsidRDefault="00E27DAE" w:rsidP="00E27DAE">
      <w:pPr>
        <w:spacing w:after="0" w:line="240" w:lineRule="auto"/>
        <w:rPr>
          <w:rFonts w:eastAsia="Calibri"/>
          <w:b/>
          <w:bCs/>
          <w14:ligatures w14:val="none"/>
        </w:rPr>
      </w:pPr>
      <w:r w:rsidRPr="00E27DAE">
        <w:rPr>
          <w:rFonts w:eastAsia="Calibri"/>
          <w:b/>
          <w:bCs/>
          <w14:ligatures w14:val="none"/>
        </w:rPr>
        <w:t>Execution of Gabriel</w:t>
      </w:r>
    </w:p>
    <w:p w14:paraId="171B30AD" w14:textId="77777777" w:rsidR="001120C8" w:rsidRDefault="001120C8" w:rsidP="00E27DAE">
      <w:pPr>
        <w:spacing w:after="0" w:line="240" w:lineRule="auto"/>
        <w:rPr>
          <w:rFonts w:eastAsia="Calibri"/>
          <w14:ligatures w14:val="none"/>
        </w:rPr>
      </w:pPr>
    </w:p>
    <w:p w14:paraId="40F2A749" w14:textId="0009E823" w:rsidR="00E27DAE" w:rsidRPr="00E27DAE" w:rsidRDefault="00E27DAE" w:rsidP="00E27DAE">
      <w:pPr>
        <w:spacing w:after="0" w:line="240" w:lineRule="auto"/>
        <w:rPr>
          <w:rFonts w:eastAsia="Calibri"/>
          <w14:ligatures w14:val="none"/>
        </w:rPr>
      </w:pPr>
      <w:r w:rsidRPr="00E27DAE">
        <w:rPr>
          <w:rFonts w:eastAsia="Calibri"/>
          <w14:ligatures w14:val="none"/>
        </w:rPr>
        <w:t xml:space="preserve">Near here is the early site of the Richmond gallows and “Burial Ground for Negroes.” On 10 Oct. 1800, </w:t>
      </w:r>
      <w:bookmarkStart w:id="10" w:name="_Hlk201318167"/>
      <w:r w:rsidRPr="00E27DAE">
        <w:rPr>
          <w:rFonts w:eastAsia="Calibri"/>
          <w14:ligatures w14:val="none"/>
        </w:rPr>
        <w:t xml:space="preserve">Gabriel, an enslaved blacksmith from Brookfield plantation in Henrico County, was executed there for attempting to lead a mass uprising against slavery on 30 Aug. 1800. </w:t>
      </w:r>
      <w:bookmarkEnd w:id="10"/>
      <w:r w:rsidRPr="00E27DAE">
        <w:rPr>
          <w:rFonts w:eastAsia="Calibri"/>
          <w14:ligatures w14:val="none"/>
        </w:rPr>
        <w:t xml:space="preserve">A fierce </w:t>
      </w:r>
      <w:r w:rsidRPr="00E27DAE">
        <w:rPr>
          <w:rFonts w:eastAsia="Calibri"/>
          <w14:ligatures w14:val="none"/>
        </w:rPr>
        <w:lastRenderedPageBreak/>
        <w:t>rainstorm delayed the insurrection, which then was betrayed by two slaves. Gabriel escaped and eluded capture until 23 Sept., when he was arrested in Norfolk. He was returned to Richmond on 27 Sept. and incarcerated in the Virginia State Penitentiary. On 6 Oct. he stood trial and was condemned. At least 25 of his supporters were also put to death there or in other jurisdictions.</w:t>
      </w:r>
    </w:p>
    <w:p w14:paraId="38087A88" w14:textId="77777777" w:rsidR="00E27DAE" w:rsidRPr="00E27DAE" w:rsidRDefault="00E27DAE" w:rsidP="00E27DAE">
      <w:pPr>
        <w:spacing w:after="0" w:line="240" w:lineRule="auto"/>
        <w:rPr>
          <w:rFonts w:eastAsia="Calibri"/>
          <w:b/>
          <w:bCs/>
          <w14:ligatures w14:val="none"/>
        </w:rPr>
      </w:pPr>
    </w:p>
    <w:p w14:paraId="3851732C" w14:textId="77777777" w:rsidR="00E27DAE" w:rsidRPr="00E27DAE" w:rsidRDefault="00E27DAE" w:rsidP="00E27DAE">
      <w:pPr>
        <w:spacing w:after="0" w:line="240" w:lineRule="auto"/>
        <w:rPr>
          <w:rFonts w:eastAsia="Calibri"/>
          <w:b/>
          <w:bCs/>
          <w14:ligatures w14:val="none"/>
        </w:rPr>
      </w:pPr>
      <w:r w:rsidRPr="00E27DAE">
        <w:rPr>
          <w:rFonts w:eastAsia="Calibri"/>
          <w:b/>
          <w:bCs/>
          <w14:ligatures w14:val="none"/>
        </w:rPr>
        <w:t>112 words/ 661 characters</w:t>
      </w:r>
    </w:p>
    <w:p w14:paraId="27BC2891" w14:textId="77777777" w:rsidR="00E27DAE" w:rsidRPr="00E27DAE" w:rsidRDefault="00E27DAE" w:rsidP="00E27DAE">
      <w:pPr>
        <w:spacing w:after="0" w:line="240" w:lineRule="auto"/>
        <w:rPr>
          <w:rFonts w:eastAsia="Calibri"/>
          <w14:ligatures w14:val="none"/>
        </w:rPr>
      </w:pPr>
    </w:p>
    <w:p w14:paraId="786D0463" w14:textId="77777777" w:rsidR="00E27DAE" w:rsidRPr="00E27DAE" w:rsidRDefault="00E27DAE" w:rsidP="00E27DAE">
      <w:pPr>
        <w:spacing w:after="0" w:line="240" w:lineRule="auto"/>
        <w:rPr>
          <w:rFonts w:eastAsia="Calibri"/>
          <w:b/>
          <w:bCs/>
          <w14:ligatures w14:val="none"/>
        </w:rPr>
      </w:pPr>
      <w:r w:rsidRPr="00E27DAE">
        <w:rPr>
          <w:rFonts w:eastAsia="Calibri"/>
          <w:b/>
          <w:bCs/>
          <w14:ligatures w14:val="none"/>
        </w:rPr>
        <w:t>Edited Text:</w:t>
      </w:r>
    </w:p>
    <w:p w14:paraId="094E2F46" w14:textId="77777777" w:rsidR="00E27DAE" w:rsidRDefault="00E27DAE" w:rsidP="00E27DAE">
      <w:pPr>
        <w:spacing w:after="0" w:line="240" w:lineRule="auto"/>
        <w:rPr>
          <w:rFonts w:eastAsia="Calibri"/>
          <w14:ligatures w14:val="none"/>
        </w:rPr>
      </w:pPr>
    </w:p>
    <w:p w14:paraId="04706F74" w14:textId="579884B8" w:rsidR="001120C8" w:rsidRPr="001120C8" w:rsidRDefault="001120C8" w:rsidP="00E27DAE">
      <w:pPr>
        <w:spacing w:after="0" w:line="240" w:lineRule="auto"/>
        <w:rPr>
          <w:rFonts w:eastAsia="Calibri"/>
          <w:b/>
          <w:bCs/>
          <w14:ligatures w14:val="none"/>
        </w:rPr>
      </w:pPr>
      <w:r w:rsidRPr="001120C8">
        <w:rPr>
          <w:rFonts w:eastAsia="Calibri"/>
          <w:b/>
          <w:bCs/>
          <w14:ligatures w14:val="none"/>
        </w:rPr>
        <w:t>Gabriel’s Uprising</w:t>
      </w:r>
    </w:p>
    <w:p w14:paraId="5887436A" w14:textId="77777777" w:rsidR="001120C8" w:rsidRPr="00E27DAE" w:rsidRDefault="001120C8" w:rsidP="00E27DAE">
      <w:pPr>
        <w:spacing w:after="0" w:line="240" w:lineRule="auto"/>
        <w:rPr>
          <w:rFonts w:eastAsia="Calibri"/>
          <w14:ligatures w14:val="none"/>
        </w:rPr>
      </w:pPr>
    </w:p>
    <w:p w14:paraId="177833B9" w14:textId="77777777" w:rsidR="00E27DAE" w:rsidRPr="00E27DAE" w:rsidRDefault="00E27DAE" w:rsidP="00E27DAE">
      <w:pPr>
        <w:spacing w:after="0" w:line="240" w:lineRule="auto"/>
        <w:rPr>
          <w:rFonts w:eastAsia="Calibri"/>
          <w14:ligatures w14:val="none"/>
        </w:rPr>
      </w:pPr>
      <w:r w:rsidRPr="00E27DAE">
        <w:rPr>
          <w:rFonts w:eastAsia="Calibri"/>
          <w14:ligatures w14:val="none"/>
        </w:rPr>
        <w:t>Gabriel, an enslaved blacksmith from Henrico County, attempted to lead a mass uprising against slavery on 30 Aug. 1800. A fierce rainstorm and disclosure of the plot by two enslaved men foiled plans to attack Richmond and capture Gov. James Monroe. Arrested and tried, Gabriel was hanged on 10 Oct. alongside two associates, Isaac and Laddis, at Richmond’s “usual place” for executions, likely near present-day S. First St. and the Downtown Expressway. His probable burial place was near there on Cary St. at the Richmond Baptist Church burying ground, no longer visible. Shockoe Bottom, where the city’s gallows later stood, was long thought to be the site of Gabriel’s execution and burial.</w:t>
      </w:r>
    </w:p>
    <w:p w14:paraId="796508E2" w14:textId="77777777" w:rsidR="00E27DAE" w:rsidRPr="00E27DAE" w:rsidRDefault="00E27DAE" w:rsidP="00E27DAE">
      <w:pPr>
        <w:spacing w:after="0" w:line="240" w:lineRule="auto"/>
        <w:rPr>
          <w:rFonts w:eastAsia="Calibri"/>
          <w:b/>
          <w:bCs/>
          <w14:ligatures w14:val="none"/>
        </w:rPr>
      </w:pPr>
    </w:p>
    <w:p w14:paraId="3412CDA6" w14:textId="77777777" w:rsidR="00E27DAE" w:rsidRPr="00E27DAE" w:rsidRDefault="00E27DAE" w:rsidP="00E27DAE">
      <w:pPr>
        <w:spacing w:after="0" w:line="240" w:lineRule="auto"/>
        <w:rPr>
          <w:rFonts w:eastAsia="Calibri"/>
          <w:b/>
          <w:bCs/>
          <w14:ligatures w14:val="none"/>
        </w:rPr>
      </w:pPr>
      <w:r w:rsidRPr="00E27DAE">
        <w:rPr>
          <w:rFonts w:eastAsia="Calibri"/>
          <w:b/>
          <w:bCs/>
          <w14:ligatures w14:val="none"/>
        </w:rPr>
        <w:t>112 words/ 692 characters</w:t>
      </w:r>
    </w:p>
    <w:p w14:paraId="50682368" w14:textId="77777777" w:rsidR="00E27DAE" w:rsidRPr="00E27DAE" w:rsidRDefault="00E27DAE" w:rsidP="00E27DAE">
      <w:pPr>
        <w:spacing w:after="0" w:line="240" w:lineRule="auto"/>
        <w:rPr>
          <w:rFonts w:eastAsia="Calibri"/>
          <w:b/>
          <w:bCs/>
          <w14:ligatures w14:val="none"/>
        </w:rPr>
      </w:pPr>
    </w:p>
    <w:p w14:paraId="46233F46" w14:textId="77777777" w:rsidR="00E27DAE" w:rsidRPr="00E27DAE" w:rsidRDefault="00E27DAE" w:rsidP="00E27DAE">
      <w:pPr>
        <w:spacing w:after="0" w:line="240" w:lineRule="auto"/>
        <w:rPr>
          <w:rFonts w:eastAsia="Calibri"/>
          <w14:ligatures w14:val="none"/>
        </w:rPr>
      </w:pPr>
      <w:r w:rsidRPr="00E27DAE">
        <w:rPr>
          <w:rFonts w:eastAsia="Calibri"/>
          <w:b/>
          <w:bCs/>
          <w14:ligatures w14:val="none"/>
        </w:rPr>
        <w:t>Sources:</w:t>
      </w:r>
    </w:p>
    <w:p w14:paraId="513F28E2" w14:textId="77777777" w:rsidR="00E27DAE" w:rsidRPr="00E27DAE" w:rsidRDefault="00E27DAE" w:rsidP="00E27DAE">
      <w:pPr>
        <w:spacing w:after="0" w:line="240" w:lineRule="auto"/>
        <w:rPr>
          <w:rFonts w:eastAsia="Calibri"/>
          <w14:ligatures w14:val="none"/>
        </w:rPr>
      </w:pPr>
    </w:p>
    <w:p w14:paraId="7F1058BD" w14:textId="77777777" w:rsidR="00E27DAE" w:rsidRPr="00E27DAE" w:rsidRDefault="00E27DAE" w:rsidP="00E27DAE">
      <w:pPr>
        <w:spacing w:after="0" w:line="240" w:lineRule="auto"/>
        <w:rPr>
          <w:rFonts w:eastAsia="Calibri"/>
          <w14:ligatures w14:val="none"/>
        </w:rPr>
      </w:pPr>
      <w:r w:rsidRPr="00E27DAE">
        <w:rPr>
          <w:rFonts w:eastAsia="Calibri"/>
          <w:i/>
          <w:iCs/>
          <w14:ligatures w14:val="none"/>
        </w:rPr>
        <w:t>Richmond Daily Dispatch</w:t>
      </w:r>
      <w:r w:rsidRPr="00E27DAE">
        <w:rPr>
          <w:rFonts w:eastAsia="Calibri"/>
          <w14:ligatures w14:val="none"/>
        </w:rPr>
        <w:t>, 29 April 1871.</w:t>
      </w:r>
    </w:p>
    <w:p w14:paraId="3129476B" w14:textId="77777777" w:rsidR="00E27DAE" w:rsidRPr="00E27DAE" w:rsidRDefault="00E27DAE" w:rsidP="00E27DAE">
      <w:pPr>
        <w:spacing w:after="0" w:line="240" w:lineRule="auto"/>
        <w:rPr>
          <w:rFonts w:eastAsia="Calibri"/>
          <w14:ligatures w14:val="none"/>
        </w:rPr>
      </w:pPr>
    </w:p>
    <w:p w14:paraId="17A597FC" w14:textId="77777777" w:rsidR="00E27DAE" w:rsidRPr="00E27DAE" w:rsidRDefault="00E27DAE" w:rsidP="00E27DAE">
      <w:pPr>
        <w:spacing w:after="0" w:line="240" w:lineRule="auto"/>
        <w:rPr>
          <w:rFonts w:eastAsia="Calibri"/>
          <w14:ligatures w14:val="none"/>
        </w:rPr>
      </w:pPr>
      <w:r w:rsidRPr="00E27DAE">
        <w:rPr>
          <w:rFonts w:eastAsia="Calibri"/>
          <w14:ligatures w14:val="none"/>
        </w:rPr>
        <w:t>Records of Richmond Tax Assessor, 1799, Library of Virginia.</w:t>
      </w:r>
    </w:p>
    <w:p w14:paraId="46C4564B" w14:textId="77777777" w:rsidR="00E27DAE" w:rsidRPr="00E27DAE" w:rsidRDefault="00E27DAE" w:rsidP="00E27DAE">
      <w:pPr>
        <w:spacing w:after="0" w:line="240" w:lineRule="auto"/>
        <w:rPr>
          <w:rFonts w:eastAsia="Calibri"/>
          <w14:ligatures w14:val="none"/>
        </w:rPr>
      </w:pPr>
    </w:p>
    <w:p w14:paraId="752F5A7A" w14:textId="77777777" w:rsidR="00E27DAE" w:rsidRPr="00E27DAE" w:rsidRDefault="00E27DAE" w:rsidP="00E27DAE">
      <w:pPr>
        <w:spacing w:after="0" w:line="240" w:lineRule="auto"/>
        <w:rPr>
          <w:rFonts w:eastAsia="Calibri"/>
          <w14:ligatures w14:val="none"/>
        </w:rPr>
      </w:pPr>
      <w:r w:rsidRPr="00E27DAE">
        <w:rPr>
          <w:rFonts w:eastAsia="Calibri"/>
          <w14:ligatures w14:val="none"/>
        </w:rPr>
        <w:t>Plan of the City of Richmond (1809).</w:t>
      </w:r>
    </w:p>
    <w:p w14:paraId="34AEF55B" w14:textId="77777777" w:rsidR="00E27DAE" w:rsidRPr="00E27DAE" w:rsidRDefault="00E27DAE" w:rsidP="00E27DAE">
      <w:pPr>
        <w:spacing w:after="0" w:line="240" w:lineRule="auto"/>
        <w:rPr>
          <w:rFonts w:eastAsia="Calibri"/>
          <w14:ligatures w14:val="none"/>
        </w:rPr>
      </w:pPr>
    </w:p>
    <w:p w14:paraId="3707616D" w14:textId="77777777" w:rsidR="00E27DAE" w:rsidRPr="00E27DAE" w:rsidRDefault="00E27DAE" w:rsidP="00E27DAE">
      <w:pPr>
        <w:spacing w:after="0" w:line="240" w:lineRule="auto"/>
        <w:rPr>
          <w:rFonts w:eastAsia="Calibri"/>
          <w14:ligatures w14:val="none"/>
        </w:rPr>
      </w:pPr>
      <w:r w:rsidRPr="00E27DAE">
        <w:rPr>
          <w:rFonts w:eastAsia="Calibri"/>
          <w14:ligatures w14:val="none"/>
        </w:rPr>
        <w:t>John A. Coke deed, City of Richmond, 20 Sept. 1871.</w:t>
      </w:r>
    </w:p>
    <w:p w14:paraId="3131635F" w14:textId="77777777" w:rsidR="00E27DAE" w:rsidRPr="00E27DAE" w:rsidRDefault="00E27DAE" w:rsidP="00E27DAE">
      <w:pPr>
        <w:spacing w:after="0" w:line="240" w:lineRule="auto"/>
        <w:rPr>
          <w:rFonts w:eastAsia="Calibri"/>
          <w14:ligatures w14:val="none"/>
        </w:rPr>
      </w:pPr>
    </w:p>
    <w:p w14:paraId="4EBE0602" w14:textId="77777777" w:rsidR="00E27DAE" w:rsidRPr="00E27DAE" w:rsidRDefault="00E27DAE" w:rsidP="00E27DAE">
      <w:pPr>
        <w:spacing w:after="0" w:line="240" w:lineRule="auto"/>
        <w:rPr>
          <w:rFonts w:eastAsia="Calibri"/>
          <w14:ligatures w14:val="none"/>
        </w:rPr>
      </w:pPr>
      <w:r w:rsidRPr="00E27DAE">
        <w:rPr>
          <w:rFonts w:eastAsia="Calibri"/>
          <w14:ligatures w14:val="none"/>
        </w:rPr>
        <w:t>John Knowles deed, City of Richmond, 28 April 1880.</w:t>
      </w:r>
    </w:p>
    <w:p w14:paraId="6AF9540A" w14:textId="77777777" w:rsidR="00E27DAE" w:rsidRPr="00E27DAE" w:rsidRDefault="00E27DAE" w:rsidP="00E27DAE">
      <w:pPr>
        <w:spacing w:after="0" w:line="240" w:lineRule="auto"/>
        <w:rPr>
          <w:rFonts w:eastAsia="Calibri"/>
          <w14:ligatures w14:val="none"/>
        </w:rPr>
      </w:pPr>
    </w:p>
    <w:p w14:paraId="7A19F140" w14:textId="77777777" w:rsidR="00E27DAE" w:rsidRPr="00E27DAE" w:rsidRDefault="00E27DAE" w:rsidP="00E27DAE">
      <w:pPr>
        <w:spacing w:after="0" w:line="240" w:lineRule="auto"/>
        <w:rPr>
          <w:rFonts w:eastAsia="Calibri"/>
          <w14:ligatures w14:val="none"/>
        </w:rPr>
      </w:pPr>
      <w:r w:rsidRPr="00E27DAE">
        <w:rPr>
          <w:rFonts w:eastAsia="Calibri"/>
          <w14:ligatures w14:val="none"/>
        </w:rPr>
        <w:t xml:space="preserve">Ryan K. Smith, </w:t>
      </w:r>
      <w:r w:rsidRPr="00E27DAE">
        <w:rPr>
          <w:rFonts w:eastAsia="Calibri"/>
          <w:i/>
          <w:iCs/>
          <w14:ligatures w14:val="none"/>
        </w:rPr>
        <w:t>Death and Rebirth in a Southern City: Richmond’s Historic Cemeteries</w:t>
      </w:r>
      <w:r w:rsidRPr="00E27DAE">
        <w:rPr>
          <w:rFonts w:eastAsia="Calibri"/>
          <w14:ligatures w14:val="none"/>
        </w:rPr>
        <w:t xml:space="preserve"> (Baltimore: Johns Hopkins University Press, 2020).</w:t>
      </w:r>
    </w:p>
    <w:p w14:paraId="50491A90" w14:textId="77777777" w:rsidR="00E27DAE" w:rsidRPr="00E27DAE" w:rsidRDefault="00E27DAE" w:rsidP="00E27DAE">
      <w:pPr>
        <w:spacing w:after="0" w:line="240" w:lineRule="auto"/>
        <w:rPr>
          <w:rFonts w:eastAsia="Calibri"/>
          <w14:ligatures w14:val="none"/>
        </w:rPr>
      </w:pPr>
    </w:p>
    <w:p w14:paraId="1F8CD8F6" w14:textId="77777777" w:rsidR="00E27DAE" w:rsidRPr="00E27DAE" w:rsidRDefault="00E27DAE" w:rsidP="00E27DAE">
      <w:pPr>
        <w:spacing w:after="0" w:line="240" w:lineRule="auto"/>
        <w:rPr>
          <w:rFonts w:eastAsia="Calibri"/>
          <w14:ligatures w14:val="none"/>
        </w:rPr>
      </w:pPr>
      <w:r w:rsidRPr="00E27DAE">
        <w:rPr>
          <w:rFonts w:eastAsia="Calibri"/>
          <w14:ligatures w14:val="none"/>
        </w:rPr>
        <w:t xml:space="preserve">Michael L. Nichols, </w:t>
      </w:r>
      <w:r w:rsidRPr="00E27DAE">
        <w:rPr>
          <w:rFonts w:eastAsia="Calibri"/>
          <w:i/>
          <w:iCs/>
          <w14:ligatures w14:val="none"/>
        </w:rPr>
        <w:t>Whispers of Rebellion: Narrating Gabriel’s Conspiracy</w:t>
      </w:r>
      <w:r w:rsidRPr="00E27DAE">
        <w:rPr>
          <w:rFonts w:eastAsia="Calibri"/>
          <w14:ligatures w14:val="none"/>
        </w:rPr>
        <w:t xml:space="preserve"> (Charlottesville: University of Virginia Press, 2012).</w:t>
      </w:r>
    </w:p>
    <w:p w14:paraId="796C1640" w14:textId="77777777" w:rsidR="00E27DAE" w:rsidRPr="00E27DAE" w:rsidRDefault="00E27DAE" w:rsidP="00E27DAE">
      <w:pPr>
        <w:spacing w:after="0" w:line="240" w:lineRule="auto"/>
        <w:rPr>
          <w:rFonts w:eastAsia="Calibri"/>
          <w14:ligatures w14:val="none"/>
        </w:rPr>
      </w:pPr>
    </w:p>
    <w:p w14:paraId="429EA0FE" w14:textId="77777777" w:rsidR="00E27DAE" w:rsidRPr="00E27DAE" w:rsidRDefault="00E27DAE" w:rsidP="00E27DAE">
      <w:pPr>
        <w:spacing w:after="0" w:line="240" w:lineRule="auto"/>
        <w:rPr>
          <w:rFonts w:eastAsia="Calibri"/>
          <w14:ligatures w14:val="none"/>
        </w:rPr>
      </w:pPr>
      <w:r w:rsidRPr="00E27DAE">
        <w:rPr>
          <w:rFonts w:eastAsia="Calibri"/>
          <w14:ligatures w14:val="none"/>
        </w:rPr>
        <w:t xml:space="preserve">Philip J. Schwarz, ed., </w:t>
      </w:r>
      <w:r w:rsidRPr="00E27DAE">
        <w:rPr>
          <w:rFonts w:eastAsia="Calibri"/>
          <w:i/>
          <w:iCs/>
          <w14:ligatures w14:val="none"/>
        </w:rPr>
        <w:t>Gabriel’s Conspiracy: A Documentary History</w:t>
      </w:r>
      <w:r w:rsidRPr="00E27DAE">
        <w:rPr>
          <w:rFonts w:eastAsia="Calibri"/>
          <w14:ligatures w14:val="none"/>
        </w:rPr>
        <w:t xml:space="preserve"> (Charlottesville: University of Virginia Press, 2012).</w:t>
      </w:r>
    </w:p>
    <w:p w14:paraId="5A9300F8" w14:textId="77777777" w:rsidR="00E27DAE" w:rsidRPr="00E27DAE" w:rsidRDefault="00E27DAE" w:rsidP="00E27DAE">
      <w:pPr>
        <w:spacing w:after="0" w:line="240" w:lineRule="auto"/>
        <w:rPr>
          <w:rFonts w:eastAsia="Aptos"/>
        </w:rPr>
      </w:pPr>
    </w:p>
    <w:p w14:paraId="54991BFC" w14:textId="77777777" w:rsidR="00E27DAE" w:rsidRPr="00E27DAE" w:rsidRDefault="00E27DAE" w:rsidP="00E27DAE">
      <w:pPr>
        <w:spacing w:after="0" w:line="240" w:lineRule="auto"/>
        <w:rPr>
          <w:rFonts w:eastAsia="Aptos"/>
        </w:rPr>
      </w:pPr>
      <w:r w:rsidRPr="00E27DAE">
        <w:rPr>
          <w:rFonts w:eastAsia="Aptos"/>
        </w:rPr>
        <w:t>Samuel Mordecai,</w:t>
      </w:r>
      <w:r w:rsidRPr="00E27DAE">
        <w:rPr>
          <w:rFonts w:eastAsia="Aptos"/>
          <w:i/>
          <w:iCs/>
        </w:rPr>
        <w:t xml:space="preserve"> Richmond in By-Gone Days: Being Reminiscences of an Old Citizen</w:t>
      </w:r>
      <w:r w:rsidRPr="00E27DAE">
        <w:rPr>
          <w:rFonts w:eastAsia="Aptos"/>
        </w:rPr>
        <w:t xml:space="preserve"> (Richmond: George M. West, 1856).</w:t>
      </w:r>
    </w:p>
    <w:p w14:paraId="10D36FFC" w14:textId="77777777" w:rsidR="00E27DAE" w:rsidRPr="00E27DAE" w:rsidRDefault="00E27DAE" w:rsidP="00E27DAE">
      <w:pPr>
        <w:spacing w:after="0" w:line="240" w:lineRule="auto"/>
        <w:rPr>
          <w:rFonts w:eastAsia="Aptos"/>
          <w:i/>
          <w:iCs/>
        </w:rPr>
      </w:pPr>
    </w:p>
    <w:p w14:paraId="1A7BDD6F" w14:textId="77777777" w:rsidR="00E27DAE" w:rsidRPr="00E27DAE" w:rsidRDefault="00E27DAE" w:rsidP="00E27DAE">
      <w:pPr>
        <w:spacing w:after="0" w:line="240" w:lineRule="auto"/>
        <w:rPr>
          <w:rFonts w:eastAsia="Calibri"/>
          <w14:ligatures w14:val="none"/>
        </w:rPr>
      </w:pPr>
      <w:r w:rsidRPr="00E27DAE">
        <w:rPr>
          <w:rFonts w:eastAsia="Aptos"/>
          <w:i/>
          <w:iCs/>
        </w:rPr>
        <w:lastRenderedPageBreak/>
        <w:t>The First Century of the First Baptist Church of Richmond, VA 1780-1880</w:t>
      </w:r>
      <w:r w:rsidRPr="00E27DAE">
        <w:rPr>
          <w:rFonts w:eastAsia="Aptos"/>
        </w:rPr>
        <w:t xml:space="preserve"> (Richmond: Carlton McCarthy, 1880).</w:t>
      </w:r>
    </w:p>
    <w:p w14:paraId="1CEA985C" w14:textId="77777777" w:rsidR="00E27DAE" w:rsidRPr="00E27DAE" w:rsidRDefault="00E27DAE" w:rsidP="00E27DAE">
      <w:pPr>
        <w:spacing w:after="0" w:line="240" w:lineRule="auto"/>
        <w:rPr>
          <w:rFonts w:eastAsia="Aptos"/>
          <w:i/>
          <w:iCs/>
        </w:rPr>
      </w:pPr>
    </w:p>
    <w:p w14:paraId="6EE3BB44" w14:textId="77777777" w:rsidR="00E27DAE" w:rsidRPr="00E27DAE" w:rsidRDefault="00E27DAE" w:rsidP="00E27DAE">
      <w:pPr>
        <w:spacing w:after="0" w:line="240" w:lineRule="auto"/>
        <w:rPr>
          <w:rFonts w:eastAsia="Calibri"/>
          <w14:ligatures w14:val="none"/>
        </w:rPr>
      </w:pPr>
      <w:r w:rsidRPr="00E27DAE">
        <w:rPr>
          <w:rFonts w:eastAsia="Aptos"/>
          <w:i/>
          <w:iCs/>
        </w:rPr>
        <w:t>Historical Sketch and Register of the First Baptist Church</w:t>
      </w:r>
      <w:r w:rsidRPr="00E27DAE">
        <w:rPr>
          <w:rFonts w:eastAsia="Aptos"/>
        </w:rPr>
        <w:t xml:space="preserve"> (Richmond: Gary’s Steam Printing House, 1875.)</w:t>
      </w:r>
    </w:p>
    <w:p w14:paraId="3194023C" w14:textId="77777777" w:rsidR="00E27DAE" w:rsidRPr="00E27DAE" w:rsidRDefault="00E27DAE" w:rsidP="00E27DAE">
      <w:pPr>
        <w:spacing w:after="0" w:line="240" w:lineRule="auto"/>
        <w:rPr>
          <w:rFonts w:eastAsia="Calibri"/>
          <w14:ligatures w14:val="none"/>
        </w:rPr>
      </w:pPr>
    </w:p>
    <w:p w14:paraId="16268C3E" w14:textId="77777777" w:rsidR="00E27DAE" w:rsidRPr="00E27DAE" w:rsidRDefault="00E27DAE" w:rsidP="00E27DAE">
      <w:pPr>
        <w:spacing w:after="0" w:line="240" w:lineRule="auto"/>
        <w:rPr>
          <w:rFonts w:eastAsia="Calibri"/>
          <w14:ligatures w14:val="none"/>
        </w:rPr>
      </w:pPr>
      <w:r w:rsidRPr="00E27DAE">
        <w:rPr>
          <w:rFonts w:eastAsia="Calibri"/>
          <w14:ligatures w14:val="none"/>
        </w:rPr>
        <w:t xml:space="preserve">Blanche Sydnor White, comp., </w:t>
      </w:r>
      <w:r w:rsidRPr="00E27DAE">
        <w:rPr>
          <w:rFonts w:eastAsia="Calibri"/>
          <w:i/>
          <w:iCs/>
          <w14:ligatures w14:val="none"/>
        </w:rPr>
        <w:t>First Baptist Church Richmond, 1780-1955</w:t>
      </w:r>
      <w:r w:rsidRPr="00E27DAE">
        <w:rPr>
          <w:rFonts w:eastAsia="Calibri"/>
          <w14:ligatures w14:val="none"/>
        </w:rPr>
        <w:t xml:space="preserve"> (Richmond: Whittet and Shepperson, 1955). </w:t>
      </w:r>
    </w:p>
    <w:p w14:paraId="5FDEF532" w14:textId="77777777" w:rsidR="00E27DAE" w:rsidRPr="00E27DAE" w:rsidRDefault="00E27DAE" w:rsidP="00E27DAE">
      <w:pPr>
        <w:spacing w:after="0" w:line="240" w:lineRule="auto"/>
        <w:rPr>
          <w:rFonts w:eastAsia="Calibri"/>
          <w14:ligatures w14:val="none"/>
        </w:rPr>
      </w:pPr>
    </w:p>
    <w:p w14:paraId="077174BB" w14:textId="77777777" w:rsidR="00E27DAE" w:rsidRPr="00E27DAE" w:rsidRDefault="00E27DAE" w:rsidP="00E27DAE">
      <w:pPr>
        <w:spacing w:after="0" w:line="240" w:lineRule="auto"/>
        <w:rPr>
          <w:rFonts w:eastAsia="Calibri"/>
          <w14:ligatures w14:val="none"/>
        </w:rPr>
      </w:pPr>
      <w:r w:rsidRPr="00E27DAE">
        <w:rPr>
          <w:rFonts w:eastAsia="Calibri"/>
          <w14:ligatures w14:val="none"/>
        </w:rPr>
        <w:t xml:space="preserve">Richmond Cemeteries: </w:t>
      </w:r>
      <w:hyperlink r:id="rId21" w:history="1">
        <w:r w:rsidRPr="00E27DAE">
          <w:rPr>
            <w:rFonts w:eastAsia="Calibri"/>
            <w:color w:val="0000FF"/>
            <w:u w:val="single"/>
            <w14:ligatures w14:val="none"/>
          </w:rPr>
          <w:t>https://www.richmondcemeteries.org/africanburialground/</w:t>
        </w:r>
      </w:hyperlink>
    </w:p>
    <w:p w14:paraId="2697DD30" w14:textId="77777777" w:rsidR="00E27DAE" w:rsidRPr="00E27DAE" w:rsidRDefault="00E27DAE" w:rsidP="00E27DAE">
      <w:pPr>
        <w:spacing w:after="0" w:line="240" w:lineRule="auto"/>
        <w:rPr>
          <w:rFonts w:eastAsia="Calibri"/>
          <w14:ligatures w14:val="none"/>
        </w:rPr>
      </w:pPr>
    </w:p>
    <w:p w14:paraId="2B0D3735" w14:textId="77777777" w:rsidR="00E27DAE" w:rsidRPr="00E27DAE" w:rsidRDefault="00E27DAE" w:rsidP="00E27DAE">
      <w:pPr>
        <w:spacing w:after="0" w:line="240" w:lineRule="auto"/>
        <w:rPr>
          <w:rFonts w:eastAsia="Calibri"/>
          <w14:ligatures w14:val="none"/>
        </w:rPr>
      </w:pPr>
      <w:r w:rsidRPr="00E27DAE">
        <w:rPr>
          <w:rFonts w:eastAsia="Calibri"/>
          <w14:ligatures w14:val="none"/>
        </w:rPr>
        <w:t xml:space="preserve">Sacred Ground Historical Reclamation Project: </w:t>
      </w:r>
      <w:hyperlink r:id="rId22" w:history="1">
        <w:r w:rsidRPr="00E27DAE">
          <w:rPr>
            <w:rFonts w:eastAsia="Calibri"/>
            <w:color w:val="0000FF"/>
            <w:u w:val="single"/>
            <w14:ligatures w14:val="none"/>
          </w:rPr>
          <w:t>https://www.sacredgroundproject.net/p/richmonds-african-burial-ground.html</w:t>
        </w:r>
      </w:hyperlink>
    </w:p>
    <w:p w14:paraId="350BABA5" w14:textId="77777777" w:rsidR="00E27DAE" w:rsidRPr="00E27DAE" w:rsidRDefault="00E27DAE" w:rsidP="00E27DAE">
      <w:pPr>
        <w:spacing w:after="0" w:line="240" w:lineRule="auto"/>
        <w:rPr>
          <w:rFonts w:eastAsia="Calibri"/>
          <w14:ligatures w14:val="none"/>
        </w:rPr>
      </w:pPr>
    </w:p>
    <w:p w14:paraId="1BC4A60C" w14:textId="77777777" w:rsidR="00E27DAE" w:rsidRPr="00E27DAE" w:rsidRDefault="00E27DAE" w:rsidP="00E27DAE">
      <w:pPr>
        <w:spacing w:after="0" w:line="240" w:lineRule="auto"/>
        <w:rPr>
          <w:rFonts w:eastAsia="Calibri"/>
          <w14:ligatures w14:val="none"/>
        </w:rPr>
      </w:pPr>
    </w:p>
    <w:p w14:paraId="6222CA50"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t>4.) Medical Department of Randolph-Macon College F-69</w:t>
      </w:r>
    </w:p>
    <w:p w14:paraId="6BB8427D" w14:textId="77777777" w:rsidR="00E27DAE" w:rsidRPr="00E27DAE" w:rsidRDefault="00E27DAE" w:rsidP="00E27DAE">
      <w:pPr>
        <w:spacing w:after="0" w:line="240" w:lineRule="auto"/>
        <w:contextualSpacing/>
        <w:rPr>
          <w:rFonts w:eastAsia="Times New Roman"/>
          <w:b/>
          <w:bCs/>
          <w:kern w:val="0"/>
          <w:szCs w:val="28"/>
          <w:lang w:bidi="en-US"/>
          <w14:ligatures w14:val="none"/>
        </w:rPr>
      </w:pPr>
    </w:p>
    <w:p w14:paraId="16DBB70A"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t xml:space="preserve">Sponsor: </w:t>
      </w:r>
      <w:r w:rsidRPr="00E27DAE">
        <w:rPr>
          <w:rFonts w:eastAsia="Times New Roman"/>
          <w:kern w:val="0"/>
          <w:szCs w:val="28"/>
          <w:lang w:bidi="en-US"/>
          <w14:ligatures w14:val="none"/>
        </w:rPr>
        <w:t>VDOT</w:t>
      </w:r>
    </w:p>
    <w:p w14:paraId="0609B767"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t xml:space="preserve">Locality: </w:t>
      </w:r>
      <w:r w:rsidRPr="00E27DAE">
        <w:rPr>
          <w:rFonts w:eastAsia="Times New Roman"/>
          <w:kern w:val="0"/>
          <w:szCs w:val="28"/>
          <w:lang w:bidi="en-US"/>
          <w14:ligatures w14:val="none"/>
        </w:rPr>
        <w:t>Prince Edward County</w:t>
      </w:r>
    </w:p>
    <w:p w14:paraId="3DCDA9CF"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b/>
          <w:bCs/>
          <w:kern w:val="0"/>
          <w:szCs w:val="28"/>
          <w:lang w:bidi="en-US"/>
          <w14:ligatures w14:val="none"/>
        </w:rPr>
        <w:t xml:space="preserve">Proposed Location: </w:t>
      </w:r>
      <w:r w:rsidRPr="00E27DAE">
        <w:rPr>
          <w:rFonts w:eastAsia="Times New Roman"/>
          <w:kern w:val="0"/>
          <w:szCs w:val="28"/>
          <w:lang w:bidi="en-US"/>
          <w14:ligatures w14:val="none"/>
        </w:rPr>
        <w:t>US Route 15, south of intersection with Route 758</w:t>
      </w:r>
    </w:p>
    <w:p w14:paraId="15F8374E"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E6E5B4A"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t>Original Text:</w:t>
      </w:r>
    </w:p>
    <w:p w14:paraId="1AB10951"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4BF1D67"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t>Randolph-Macon Medical School</w:t>
      </w:r>
    </w:p>
    <w:p w14:paraId="02D7BC02"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954460F"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Just to the west was the medical school of John Peter Mettauer, which became a branch of Randolph-Macon College in 1847. It was discontinued, probably in 1861. Dr. Mettauer, one of the leading surgeons of the day, practiced until his death in 1875.</w:t>
      </w:r>
    </w:p>
    <w:p w14:paraId="2110832C"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184F1AC"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t>43 words/ 248 characters</w:t>
      </w:r>
    </w:p>
    <w:p w14:paraId="3438204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83B7153"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t>Edited Text:</w:t>
      </w:r>
    </w:p>
    <w:p w14:paraId="4B777111"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03972F1"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t>Medical Department of Randolph-Macon College</w:t>
      </w:r>
    </w:p>
    <w:p w14:paraId="76FB5240"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28F6520"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Just west of here stood the Prince Edward Medical Institute, one of the South’s few medical schools when prominent surgeon John Peter Mettauer (ca. 1787-1875) established it in 1837. From 1847 until the mid-1850s, the school served as the Medical Department of Randolph-Macon College, a Methodist institution then based in Boydton. Mettauer, who had been educated at Hampden-Sydney College and the University of Pennsylvania, also operated an infirmary near here chiefly for the treatment of enslaved people. A pioneer in gynecological and plastic surgery, he designed surgical instruments, developed new procedures, and published frequently in medical journals.</w:t>
      </w:r>
    </w:p>
    <w:p w14:paraId="72274A7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860F998"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t>97 words/ 662 characters</w:t>
      </w:r>
    </w:p>
    <w:p w14:paraId="6B541CF3"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4E7833A" w14:textId="77777777" w:rsidR="00E27DAE" w:rsidRPr="00E27DAE" w:rsidRDefault="00E27DAE" w:rsidP="00E27DAE">
      <w:pPr>
        <w:spacing w:after="0" w:line="240" w:lineRule="auto"/>
        <w:contextualSpacing/>
        <w:rPr>
          <w:rFonts w:eastAsia="Times New Roman"/>
          <w:b/>
          <w:bCs/>
          <w:kern w:val="0"/>
          <w:szCs w:val="28"/>
          <w:lang w:bidi="en-US"/>
          <w14:ligatures w14:val="none"/>
        </w:rPr>
      </w:pPr>
      <w:r w:rsidRPr="00E27DAE">
        <w:rPr>
          <w:rFonts w:eastAsia="Times New Roman"/>
          <w:b/>
          <w:bCs/>
          <w:kern w:val="0"/>
          <w:szCs w:val="28"/>
          <w:lang w:bidi="en-US"/>
          <w14:ligatures w14:val="none"/>
        </w:rPr>
        <w:lastRenderedPageBreak/>
        <w:t>Sources:</w:t>
      </w:r>
    </w:p>
    <w:p w14:paraId="10A1FFBF"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1DCF44A"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Jodi L. Koste, “Mettauer, John Peter,” </w:t>
      </w:r>
      <w:r w:rsidRPr="00E27DAE">
        <w:rPr>
          <w:rFonts w:eastAsia="Times New Roman"/>
          <w:i/>
          <w:iCs/>
          <w:kern w:val="0"/>
          <w:szCs w:val="28"/>
          <w:lang w:bidi="en-US"/>
          <w14:ligatures w14:val="none"/>
        </w:rPr>
        <w:t>American National Biography</w:t>
      </w:r>
      <w:r w:rsidRPr="00E27DAE">
        <w:rPr>
          <w:rFonts w:eastAsia="Times New Roman"/>
          <w:kern w:val="0"/>
          <w:szCs w:val="28"/>
          <w:lang w:bidi="en-US"/>
          <w14:ligatures w14:val="none"/>
        </w:rPr>
        <w:t xml:space="preserve"> (Oxford: Oxford University Press, 1999).</w:t>
      </w:r>
    </w:p>
    <w:p w14:paraId="049493AD"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2F210B0"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Anne S. Rose, comp., </w:t>
      </w:r>
      <w:r w:rsidRPr="00E27DAE">
        <w:rPr>
          <w:rFonts w:eastAsia="Times New Roman"/>
          <w:i/>
          <w:iCs/>
          <w:kern w:val="0"/>
          <w:szCs w:val="28"/>
          <w:lang w:bidi="en-US"/>
          <w14:ligatures w14:val="none"/>
        </w:rPr>
        <w:t>The Faculty of Randolph-Macon College During the 1800’s</w:t>
      </w:r>
      <w:r w:rsidRPr="00E27DAE">
        <w:rPr>
          <w:rFonts w:eastAsia="Times New Roman"/>
          <w:kern w:val="0"/>
          <w:szCs w:val="28"/>
          <w:lang w:bidi="en-US"/>
          <w14:ligatures w14:val="none"/>
        </w:rPr>
        <w:t xml:space="preserve"> </w:t>
      </w:r>
    </w:p>
    <w:p w14:paraId="2B771CA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3934861"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Herbert Clarence Bradshaw, </w:t>
      </w:r>
      <w:r w:rsidRPr="00E27DAE">
        <w:rPr>
          <w:rFonts w:eastAsia="Times New Roman"/>
          <w:i/>
          <w:iCs/>
          <w:kern w:val="0"/>
          <w:szCs w:val="28"/>
          <w:lang w:bidi="en-US"/>
          <w14:ligatures w14:val="none"/>
        </w:rPr>
        <w:t>History of Prince Edward County, Virginia</w:t>
      </w:r>
      <w:r w:rsidRPr="00E27DAE">
        <w:rPr>
          <w:rFonts w:eastAsia="Times New Roman"/>
          <w:kern w:val="0"/>
          <w:szCs w:val="28"/>
          <w:lang w:bidi="en-US"/>
          <w14:ligatures w14:val="none"/>
        </w:rPr>
        <w:t xml:space="preserve"> (Richmond: Dietz Press, 1955).</w:t>
      </w:r>
    </w:p>
    <w:p w14:paraId="144C6192"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147D795"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Richmond Enquirer</w:t>
      </w:r>
      <w:r w:rsidRPr="00E27DAE">
        <w:rPr>
          <w:rFonts w:eastAsia="Times New Roman"/>
          <w:kern w:val="0"/>
          <w:szCs w:val="28"/>
          <w:lang w:bidi="en-US"/>
          <w14:ligatures w14:val="none"/>
        </w:rPr>
        <w:t>, 2 March 1837, 8 July 1845, 15 Oct. 1847.</w:t>
      </w:r>
    </w:p>
    <w:p w14:paraId="4C265C26"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76AA02A8"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Lynchburg Virginian</w:t>
      </w:r>
      <w:r w:rsidRPr="00E27DAE">
        <w:rPr>
          <w:rFonts w:eastAsia="Times New Roman"/>
          <w:kern w:val="0"/>
          <w:szCs w:val="28"/>
          <w:lang w:bidi="en-US"/>
          <w14:ligatures w14:val="none"/>
        </w:rPr>
        <w:t>, 1 Nov. 1838, 13 April 1840.</w:t>
      </w:r>
    </w:p>
    <w:p w14:paraId="7334D39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CA69C6D"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Catalogue of the Students and Charter and Laws of Randolph Macon College</w:t>
      </w:r>
      <w:r w:rsidRPr="00E27DAE">
        <w:rPr>
          <w:rFonts w:eastAsia="Times New Roman"/>
          <w:kern w:val="0"/>
          <w:szCs w:val="28"/>
          <w:lang w:bidi="en-US"/>
          <w14:ligatures w14:val="none"/>
        </w:rPr>
        <w:t xml:space="preserve"> (Richmond, 1848).</w:t>
      </w:r>
    </w:p>
    <w:p w14:paraId="2ECBE79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F7FD468"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George Ben Johnston, “A Sketch of Dr. John Peter Mettauer of Virginia,” </w:t>
      </w:r>
      <w:r w:rsidRPr="00E27DAE">
        <w:rPr>
          <w:rFonts w:eastAsia="Times New Roman"/>
          <w:i/>
          <w:iCs/>
          <w:kern w:val="0"/>
          <w:szCs w:val="28"/>
          <w:lang w:bidi="en-US"/>
          <w14:ligatures w14:val="none"/>
        </w:rPr>
        <w:t>Transactions of the American Surgical Association</w:t>
      </w:r>
      <w:r w:rsidRPr="00E27DAE">
        <w:rPr>
          <w:rFonts w:eastAsia="Times New Roman"/>
          <w:kern w:val="0"/>
          <w:szCs w:val="28"/>
          <w:lang w:bidi="en-US"/>
          <w14:ligatures w14:val="none"/>
        </w:rPr>
        <w:t xml:space="preserve"> (1905).</w:t>
      </w:r>
    </w:p>
    <w:p w14:paraId="46048A1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3732C5A3"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Wyndham B. Blanton, </w:t>
      </w:r>
      <w:r w:rsidRPr="00E27DAE">
        <w:rPr>
          <w:rFonts w:eastAsia="Times New Roman"/>
          <w:i/>
          <w:iCs/>
          <w:kern w:val="0"/>
          <w:szCs w:val="28"/>
          <w:lang w:bidi="en-US"/>
          <w14:ligatures w14:val="none"/>
        </w:rPr>
        <w:t>Medicine in Virginia in the Nineteenth Century</w:t>
      </w:r>
      <w:r w:rsidRPr="00E27DAE">
        <w:rPr>
          <w:rFonts w:eastAsia="Times New Roman"/>
          <w:kern w:val="0"/>
          <w:szCs w:val="28"/>
          <w:lang w:bidi="en-US"/>
          <w14:ligatures w14:val="none"/>
        </w:rPr>
        <w:t xml:space="preserve"> (Richmond: Garrett &amp; Massie, Inc., 1933).</w:t>
      </w:r>
    </w:p>
    <w:p w14:paraId="31D4CEEA"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4C12B289"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04580F36" w14:textId="77777777" w:rsidR="00E27DAE" w:rsidRPr="00E27DAE" w:rsidRDefault="00E27DAE" w:rsidP="00E27DAE">
      <w:pPr>
        <w:spacing w:after="200" w:line="276" w:lineRule="auto"/>
        <w:rPr>
          <w:rFonts w:eastAsia="Times New Roman"/>
          <w:b/>
          <w:kern w:val="0"/>
          <w:lang w:bidi="en-US"/>
          <w14:ligatures w14:val="none"/>
        </w:rPr>
      </w:pPr>
      <w:r w:rsidRPr="00E27DAE">
        <w:rPr>
          <w:rFonts w:eastAsia="Times New Roman"/>
          <w:b/>
          <w:kern w:val="0"/>
          <w:lang w:bidi="en-US"/>
          <w14:ligatures w14:val="none"/>
        </w:rPr>
        <w:t>5.) Action at Mill Creek A-71</w:t>
      </w:r>
    </w:p>
    <w:p w14:paraId="414C2B23"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Sponsor:</w:t>
      </w:r>
      <w:r w:rsidRPr="00E27DAE">
        <w:rPr>
          <w:rFonts w:eastAsia="Times New Roman"/>
          <w:kern w:val="0"/>
          <w:lang w:bidi="en-US"/>
          <w14:ligatures w14:val="none"/>
        </w:rPr>
        <w:t xml:space="preserve"> VDOT</w:t>
      </w:r>
    </w:p>
    <w:p w14:paraId="221FB11D"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Locality:</w:t>
      </w:r>
      <w:r w:rsidRPr="00E27DAE">
        <w:rPr>
          <w:rFonts w:eastAsia="Times New Roman"/>
          <w:kern w:val="0"/>
          <w:lang w:bidi="en-US"/>
          <w14:ligatures w14:val="none"/>
        </w:rPr>
        <w:t xml:space="preserve"> Shenandoah County</w:t>
      </w:r>
    </w:p>
    <w:p w14:paraId="34DA5F61" w14:textId="77777777" w:rsidR="00E27DAE" w:rsidRPr="00E27DAE" w:rsidRDefault="00E27DAE" w:rsidP="00E27DAE">
      <w:pPr>
        <w:spacing w:after="0" w:line="240" w:lineRule="auto"/>
        <w:contextualSpacing/>
        <w:rPr>
          <w:rFonts w:eastAsia="Times New Roman"/>
          <w:kern w:val="0"/>
          <w:lang w:bidi="en-US"/>
          <w14:ligatures w14:val="none"/>
        </w:rPr>
      </w:pPr>
      <w:r w:rsidRPr="00E27DAE">
        <w:rPr>
          <w:rFonts w:eastAsia="Times New Roman"/>
          <w:b/>
          <w:kern w:val="0"/>
          <w:lang w:bidi="en-US"/>
          <w14:ligatures w14:val="none"/>
        </w:rPr>
        <w:t>Proposed Location:</w:t>
      </w:r>
      <w:r w:rsidRPr="00E27DAE">
        <w:rPr>
          <w:rFonts w:eastAsia="Times New Roman"/>
          <w:kern w:val="0"/>
          <w:lang w:bidi="en-US"/>
          <w14:ligatures w14:val="none"/>
        </w:rPr>
        <w:t xml:space="preserve"> Senedo Road (Route 42) near intersection with Orkney Grade Road (Route 263)</w:t>
      </w:r>
    </w:p>
    <w:p w14:paraId="3889EEC5" w14:textId="77777777" w:rsidR="00E27DAE" w:rsidRPr="00E27DAE" w:rsidRDefault="00E27DAE" w:rsidP="00E27DAE">
      <w:pPr>
        <w:spacing w:after="0" w:line="240" w:lineRule="auto"/>
        <w:contextualSpacing/>
        <w:rPr>
          <w:rFonts w:eastAsia="Times New Roman"/>
          <w:kern w:val="0"/>
          <w:lang w:bidi="en-US"/>
          <w14:ligatures w14:val="none"/>
        </w:rPr>
      </w:pPr>
    </w:p>
    <w:p w14:paraId="1E99CFF0"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Original text:</w:t>
      </w:r>
    </w:p>
    <w:p w14:paraId="0DCAF1E6" w14:textId="77777777" w:rsidR="00E27DAE" w:rsidRPr="00E27DAE" w:rsidRDefault="00E27DAE" w:rsidP="00E27DAE">
      <w:pPr>
        <w:spacing w:after="0" w:line="240" w:lineRule="auto"/>
        <w:rPr>
          <w:rFonts w:eastAsia="Times New Roman"/>
          <w:kern w:val="0"/>
          <w:lang w:bidi="en-US"/>
          <w14:ligatures w14:val="none"/>
        </w:rPr>
      </w:pPr>
    </w:p>
    <w:p w14:paraId="3DAEB183"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t>Action at Mill Creek</w:t>
      </w:r>
    </w:p>
    <w:p w14:paraId="71DCC7D4" w14:textId="77777777" w:rsidR="00E27DAE" w:rsidRPr="00E27DAE" w:rsidRDefault="00E27DAE" w:rsidP="00E27DAE">
      <w:pPr>
        <w:spacing w:after="0" w:line="240" w:lineRule="auto"/>
        <w:rPr>
          <w:rFonts w:eastAsia="Times New Roman"/>
          <w:kern w:val="0"/>
          <w:lang w:bidi="en-US"/>
          <w14:ligatures w14:val="none"/>
        </w:rPr>
      </w:pPr>
      <w:r w:rsidRPr="00E27DAE">
        <w:rPr>
          <w:rFonts w:eastAsia="Times New Roman"/>
          <w:kern w:val="0"/>
          <w:lang w:bidi="en-US"/>
          <w14:ligatures w14:val="none"/>
        </w:rPr>
        <w:t xml:space="preserve"> </w:t>
      </w:r>
    </w:p>
    <w:p w14:paraId="3DEAF6AB" w14:textId="77777777" w:rsidR="00E27DAE" w:rsidRPr="00E27DAE" w:rsidRDefault="00E27DAE" w:rsidP="00E27DAE">
      <w:pPr>
        <w:spacing w:after="0" w:line="240" w:lineRule="auto"/>
        <w:contextualSpacing/>
        <w:rPr>
          <w:rFonts w:eastAsia="Times New Roman"/>
          <w:kern w:val="0"/>
          <w:lang w:bidi="en-US"/>
          <w14:ligatures w14:val="none"/>
        </w:rPr>
      </w:pPr>
      <w:bookmarkStart w:id="11" w:name="_Hlk198102066"/>
      <w:r w:rsidRPr="00E27DAE">
        <w:rPr>
          <w:rFonts w:eastAsia="Times New Roman"/>
          <w:kern w:val="0"/>
          <w:lang w:bidi="en-US"/>
          <w14:ligatures w14:val="none"/>
        </w:rPr>
        <w:t>During the Civil War, Union Maj. Gen. Philip H. Sheridan began “The Burning” of mills and barns in the Shenandoah Valley on 6 Oct. 1864, after defeating Confederate Lt. Gen. Jubal A. Early at the Battle of Fisher's Hill. After passing through Forestville, Brig. Gen. George A. Custer's Vermont Cavalry formed the rear guard across Mill Creek here. Confederate Brig. Gen. Thomas L. Rosser flanked the position. The 11th and 12th Virginia Cavalry charged and the Federals withdrew, losing 50 men as well as wagons, cattle and sheep. Local resident Confederate Capt. Hugh R.T. Koontz, was killed and was buried in Mt. Jackson.</w:t>
      </w:r>
      <w:bookmarkEnd w:id="11"/>
    </w:p>
    <w:p w14:paraId="7A05D243" w14:textId="77777777" w:rsidR="00E27DAE" w:rsidRPr="00E27DAE" w:rsidRDefault="00E27DAE" w:rsidP="00E27DAE">
      <w:pPr>
        <w:spacing w:after="0" w:line="240" w:lineRule="auto"/>
        <w:contextualSpacing/>
        <w:rPr>
          <w:rFonts w:eastAsia="Times New Roman"/>
          <w:kern w:val="0"/>
          <w:lang w:bidi="en-US"/>
          <w14:ligatures w14:val="none"/>
        </w:rPr>
      </w:pPr>
    </w:p>
    <w:p w14:paraId="4C6053DE" w14:textId="77777777" w:rsidR="00E27DAE" w:rsidRPr="00E27DAE" w:rsidRDefault="00E27DAE" w:rsidP="00E27DAE">
      <w:pPr>
        <w:spacing w:after="0" w:line="240" w:lineRule="auto"/>
        <w:contextualSpacing/>
        <w:rPr>
          <w:rFonts w:eastAsia="Times New Roman"/>
          <w:b/>
          <w:kern w:val="0"/>
          <w:lang w:bidi="en-US"/>
          <w14:ligatures w14:val="none"/>
        </w:rPr>
      </w:pPr>
      <w:r w:rsidRPr="00E27DAE">
        <w:rPr>
          <w:rFonts w:eastAsia="Times New Roman"/>
          <w:b/>
          <w:kern w:val="0"/>
          <w:lang w:bidi="en-US"/>
          <w14:ligatures w14:val="none"/>
        </w:rPr>
        <w:t>103 words/ 623 characters</w:t>
      </w:r>
    </w:p>
    <w:p w14:paraId="267E4B7C" w14:textId="77777777" w:rsidR="00E27DAE" w:rsidRPr="00E27DAE" w:rsidRDefault="00E27DAE" w:rsidP="00E27DAE">
      <w:pPr>
        <w:spacing w:after="0" w:line="240" w:lineRule="auto"/>
        <w:contextualSpacing/>
        <w:rPr>
          <w:rFonts w:eastAsia="Times New Roman"/>
          <w:b/>
          <w:kern w:val="0"/>
          <w:lang w:bidi="en-US"/>
          <w14:ligatures w14:val="none"/>
        </w:rPr>
      </w:pPr>
    </w:p>
    <w:p w14:paraId="562293BC" w14:textId="77777777" w:rsidR="00E27DAE" w:rsidRPr="00E27DAE" w:rsidRDefault="00E27DAE" w:rsidP="00E27DAE">
      <w:pPr>
        <w:spacing w:after="0" w:line="240" w:lineRule="auto"/>
        <w:rPr>
          <w:rFonts w:eastAsia="Times New Roman"/>
          <w:b/>
          <w:kern w:val="0"/>
          <w:szCs w:val="28"/>
          <w:lang w:bidi="en-US"/>
          <w14:ligatures w14:val="none"/>
        </w:rPr>
      </w:pPr>
    </w:p>
    <w:p w14:paraId="078A7C46"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Edited text:</w:t>
      </w:r>
    </w:p>
    <w:p w14:paraId="66CE4F43" w14:textId="77777777" w:rsidR="00E27DAE" w:rsidRPr="00E27DAE" w:rsidRDefault="00E27DAE" w:rsidP="00E27DAE">
      <w:pPr>
        <w:spacing w:after="0" w:line="240" w:lineRule="auto"/>
        <w:rPr>
          <w:rFonts w:eastAsia="Times New Roman"/>
          <w:b/>
          <w:kern w:val="0"/>
          <w:szCs w:val="28"/>
          <w:lang w:bidi="en-US"/>
          <w14:ligatures w14:val="none"/>
        </w:rPr>
      </w:pPr>
    </w:p>
    <w:p w14:paraId="13C3A245" w14:textId="77777777" w:rsidR="00E27DAE" w:rsidRPr="00E27DAE" w:rsidRDefault="00E27DAE" w:rsidP="00E27DAE">
      <w:pPr>
        <w:spacing w:after="0" w:line="240" w:lineRule="auto"/>
        <w:jc w:val="both"/>
        <w:rPr>
          <w:rFonts w:eastAsia="Times New Roman"/>
          <w:b/>
          <w:kern w:val="0"/>
          <w:lang w:bidi="en-US"/>
          <w14:ligatures w14:val="none"/>
        </w:rPr>
      </w:pPr>
      <w:r w:rsidRPr="00E27DAE">
        <w:rPr>
          <w:rFonts w:eastAsia="Times New Roman"/>
          <w:b/>
          <w:kern w:val="0"/>
          <w:lang w:bidi="en-US"/>
          <w14:ligatures w14:val="none"/>
        </w:rPr>
        <w:lastRenderedPageBreak/>
        <w:t>Action at Mill Creek</w:t>
      </w:r>
    </w:p>
    <w:p w14:paraId="5334FE3E" w14:textId="77777777" w:rsidR="00E27DAE" w:rsidRPr="00E27DAE" w:rsidRDefault="00E27DAE" w:rsidP="00E27DAE">
      <w:pPr>
        <w:spacing w:after="0" w:line="240" w:lineRule="auto"/>
        <w:jc w:val="both"/>
        <w:rPr>
          <w:rFonts w:eastAsia="Times New Roman"/>
          <w:kern w:val="0"/>
          <w:lang w:bidi="en-US"/>
          <w14:ligatures w14:val="none"/>
        </w:rPr>
      </w:pPr>
    </w:p>
    <w:p w14:paraId="330A6DCF" w14:textId="77777777" w:rsidR="00E27DAE" w:rsidRPr="00E27DAE" w:rsidRDefault="00E27DAE" w:rsidP="00E27DAE">
      <w:pPr>
        <w:spacing w:after="0" w:line="240" w:lineRule="auto"/>
        <w:jc w:val="both"/>
        <w:rPr>
          <w:rFonts w:eastAsia="Times New Roman"/>
          <w:kern w:val="0"/>
          <w:lang w:bidi="en-US"/>
          <w14:ligatures w14:val="none"/>
        </w:rPr>
      </w:pPr>
      <w:r w:rsidRPr="00E27DAE">
        <w:rPr>
          <w:rFonts w:eastAsia="Times New Roman"/>
          <w:kern w:val="0"/>
          <w:lang w:bidi="en-US"/>
          <w14:ligatures w14:val="none"/>
        </w:rPr>
        <w:t>Union Maj. Gen. Philip H. Sheridan began “The Burning” of crops, barns, and mills in the Shenandoah Valley after defeating Confederate Lt. Gen. Jubal A. Early at the Battle of Fisher's Hill on 21-22 Sept. 1864. On 6 Oct., Sheridan’s army began moving northward. His westernmost column, under Brig. Gen. George A. Custer, crossed Mill Creek here on 7 Oct. Cavalrymen under Confederate Brig. Gen. Thomas L. Rosser charged Custer’s rear guard near the creek, attacking directly across the ford and from the flank. Forcing a Union withdrawal, they captured equipment, livestock, and about 50 men. Confederate Capt. Hugh R. T. Koontz, a local resident, was killed and was buried in Mt. Jackson.</w:t>
      </w:r>
    </w:p>
    <w:p w14:paraId="32237D82" w14:textId="77777777" w:rsidR="00E27DAE" w:rsidRPr="00E27DAE" w:rsidRDefault="00E27DAE" w:rsidP="00E27DAE">
      <w:pPr>
        <w:spacing w:after="0" w:line="240" w:lineRule="auto"/>
        <w:jc w:val="both"/>
        <w:rPr>
          <w:rFonts w:eastAsia="Times New Roman"/>
          <w:kern w:val="0"/>
          <w:lang w:bidi="en-US"/>
          <w14:ligatures w14:val="none"/>
        </w:rPr>
      </w:pPr>
    </w:p>
    <w:p w14:paraId="1692BFDE" w14:textId="77777777" w:rsidR="00E27DAE" w:rsidRPr="00E27DAE" w:rsidRDefault="00E27DAE" w:rsidP="00E27DAE">
      <w:pPr>
        <w:spacing w:after="0" w:line="240" w:lineRule="auto"/>
        <w:rPr>
          <w:rFonts w:eastAsia="Times New Roman"/>
          <w:b/>
          <w:kern w:val="0"/>
          <w:szCs w:val="28"/>
          <w:lang w:bidi="en-US"/>
          <w14:ligatures w14:val="none"/>
        </w:rPr>
      </w:pPr>
      <w:r w:rsidRPr="00E27DAE">
        <w:rPr>
          <w:rFonts w:eastAsia="Times New Roman"/>
          <w:b/>
          <w:kern w:val="0"/>
          <w:szCs w:val="28"/>
          <w:lang w:bidi="en-US"/>
          <w14:ligatures w14:val="none"/>
        </w:rPr>
        <w:t>113 words/ 689 characters</w:t>
      </w:r>
    </w:p>
    <w:p w14:paraId="16D760BF" w14:textId="77777777" w:rsidR="00E27DAE" w:rsidRPr="00E27DAE" w:rsidRDefault="00E27DAE" w:rsidP="00E27DAE">
      <w:pPr>
        <w:spacing w:after="0" w:line="240" w:lineRule="auto"/>
        <w:rPr>
          <w:rFonts w:eastAsia="Times New Roman"/>
          <w:kern w:val="0"/>
          <w:szCs w:val="28"/>
          <w:lang w:bidi="en-US"/>
          <w14:ligatures w14:val="none"/>
        </w:rPr>
      </w:pPr>
    </w:p>
    <w:p w14:paraId="5FA74299" w14:textId="77777777" w:rsidR="00E27DAE" w:rsidRPr="00E27DAE" w:rsidRDefault="00E27DAE" w:rsidP="00E27DAE">
      <w:pPr>
        <w:spacing w:after="0" w:line="240" w:lineRule="auto"/>
        <w:contextualSpacing/>
        <w:rPr>
          <w:rFonts w:eastAsia="Times New Roman"/>
          <w:b/>
          <w:kern w:val="0"/>
          <w:szCs w:val="28"/>
          <w:lang w:bidi="en-US"/>
          <w14:ligatures w14:val="none"/>
        </w:rPr>
      </w:pPr>
      <w:r w:rsidRPr="00E27DAE">
        <w:rPr>
          <w:rFonts w:eastAsia="Times New Roman"/>
          <w:b/>
          <w:kern w:val="0"/>
          <w:szCs w:val="28"/>
          <w:lang w:bidi="en-US"/>
          <w14:ligatures w14:val="none"/>
        </w:rPr>
        <w:t>Sources:</w:t>
      </w:r>
    </w:p>
    <w:p w14:paraId="2EB2BECD"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A4E826F"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John L. Heatwole, </w:t>
      </w:r>
      <w:r w:rsidRPr="00E27DAE">
        <w:rPr>
          <w:rFonts w:eastAsia="Times New Roman"/>
          <w:i/>
          <w:iCs/>
          <w:kern w:val="0"/>
          <w:szCs w:val="28"/>
          <w:lang w:bidi="en-US"/>
          <w14:ligatures w14:val="none"/>
        </w:rPr>
        <w:t>The Burning: Sheridan in the Shenandoah Valley</w:t>
      </w:r>
      <w:r w:rsidRPr="00E27DAE">
        <w:rPr>
          <w:rFonts w:eastAsia="Times New Roman"/>
          <w:kern w:val="0"/>
          <w:szCs w:val="28"/>
          <w:lang w:bidi="en-US"/>
          <w14:ligatures w14:val="none"/>
        </w:rPr>
        <w:t xml:space="preserve"> (Charlottesville: Rockbridge Publishing, 1998.</w:t>
      </w:r>
    </w:p>
    <w:p w14:paraId="50EEAC7F"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6F5C6B9C"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William A. Miller, </w:t>
      </w:r>
      <w:r w:rsidRPr="00E27DAE">
        <w:rPr>
          <w:rFonts w:eastAsia="Times New Roman"/>
          <w:i/>
          <w:iCs/>
          <w:kern w:val="0"/>
          <w:szCs w:val="28"/>
          <w:lang w:bidi="en-US"/>
          <w14:ligatures w14:val="none"/>
        </w:rPr>
        <w:t>Decision at Tom’s Brook: George Custer, Thomas Rosser, and the Joy of the Fight</w:t>
      </w:r>
      <w:r w:rsidRPr="00E27DAE">
        <w:rPr>
          <w:rFonts w:eastAsia="Times New Roman"/>
          <w:kern w:val="0"/>
          <w:szCs w:val="28"/>
          <w:lang w:bidi="en-US"/>
          <w14:ligatures w14:val="none"/>
        </w:rPr>
        <w:t xml:space="preserve"> (Dorado Hill, CA: Savas Beatie, 2016).</w:t>
      </w:r>
    </w:p>
    <w:p w14:paraId="479939F4"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5C513043"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“The Burning,” Cedar Creek &amp; Belle Grove National Historical Park: </w:t>
      </w:r>
      <w:hyperlink r:id="rId23" w:history="1">
        <w:r w:rsidRPr="00E27DAE">
          <w:rPr>
            <w:rFonts w:eastAsia="Times New Roman"/>
            <w:color w:val="0000FF"/>
            <w:kern w:val="0"/>
            <w:szCs w:val="28"/>
            <w:u w:val="single"/>
            <w:lang w:bidi="en-US"/>
            <w14:ligatures w14:val="none"/>
          </w:rPr>
          <w:t>https://www.nps.gov/articles/000/the-burning-shenandoah-valley-in-flames.htm</w:t>
        </w:r>
      </w:hyperlink>
    </w:p>
    <w:p w14:paraId="31B56663"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725BAF6"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Louis N. Boudrye, </w:t>
      </w:r>
      <w:r w:rsidRPr="00E27DAE">
        <w:rPr>
          <w:rFonts w:eastAsia="Times New Roman"/>
          <w:i/>
          <w:iCs/>
          <w:kern w:val="0"/>
          <w:szCs w:val="28"/>
          <w:lang w:bidi="en-US"/>
          <w14:ligatures w14:val="none"/>
        </w:rPr>
        <w:t>Historic Records of the Fifth New York Cavalry</w:t>
      </w:r>
      <w:r w:rsidRPr="00E27DAE">
        <w:rPr>
          <w:rFonts w:eastAsia="Times New Roman"/>
          <w:kern w:val="0"/>
          <w:szCs w:val="28"/>
          <w:lang w:bidi="en-US"/>
          <w14:ligatures w14:val="none"/>
        </w:rPr>
        <w:t xml:space="preserve"> (Albany: S. R. Gray, 1865).</w:t>
      </w:r>
    </w:p>
    <w:p w14:paraId="1D821E6D"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3D5F1C6"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i/>
          <w:iCs/>
          <w:kern w:val="0"/>
          <w:szCs w:val="28"/>
          <w:lang w:bidi="en-US"/>
          <w14:ligatures w14:val="none"/>
        </w:rPr>
        <w:t>History of the Eighteenth Regiment of Cavalry, Pennsylvania Volunteers, 1862-1865</w:t>
      </w:r>
      <w:r w:rsidRPr="00E27DAE">
        <w:rPr>
          <w:rFonts w:eastAsia="Times New Roman"/>
          <w:kern w:val="0"/>
          <w:szCs w:val="28"/>
          <w:lang w:bidi="en-US"/>
          <w14:ligatures w14:val="none"/>
        </w:rPr>
        <w:t xml:space="preserve"> (New York, 1909).</w:t>
      </w:r>
    </w:p>
    <w:p w14:paraId="61A8F8EB"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2A622DDB" w14:textId="77777777" w:rsidR="00E27DAE" w:rsidRPr="00E27DAE" w:rsidRDefault="00E27DAE" w:rsidP="00E27DAE">
      <w:pPr>
        <w:spacing w:after="0" w:line="240" w:lineRule="auto"/>
        <w:contextualSpacing/>
        <w:rPr>
          <w:rFonts w:eastAsia="Times New Roman"/>
          <w:kern w:val="0"/>
          <w:szCs w:val="28"/>
          <w:lang w:bidi="en-US"/>
          <w14:ligatures w14:val="none"/>
        </w:rPr>
      </w:pPr>
      <w:r w:rsidRPr="00E27DAE">
        <w:rPr>
          <w:rFonts w:eastAsia="Times New Roman"/>
          <w:kern w:val="0"/>
          <w:szCs w:val="28"/>
          <w:lang w:bidi="en-US"/>
          <w14:ligatures w14:val="none"/>
        </w:rPr>
        <w:t xml:space="preserve">William N. McDonald, </w:t>
      </w:r>
      <w:r w:rsidRPr="00E27DAE">
        <w:rPr>
          <w:rFonts w:eastAsia="Times New Roman"/>
          <w:i/>
          <w:iCs/>
          <w:kern w:val="0"/>
          <w:szCs w:val="28"/>
          <w:lang w:bidi="en-US"/>
          <w14:ligatures w14:val="none"/>
        </w:rPr>
        <w:t>A History of the Laurel Brigade</w:t>
      </w:r>
      <w:r w:rsidRPr="00E27DAE">
        <w:rPr>
          <w:rFonts w:eastAsia="Times New Roman"/>
          <w:kern w:val="0"/>
          <w:szCs w:val="28"/>
          <w:lang w:bidi="en-US"/>
          <w14:ligatures w14:val="none"/>
        </w:rPr>
        <w:t xml:space="preserve"> (Baltimore: Kate S. McDonald, 1907).</w:t>
      </w:r>
    </w:p>
    <w:p w14:paraId="13860646" w14:textId="77777777" w:rsidR="00E27DAE" w:rsidRPr="00E27DAE" w:rsidRDefault="00E27DAE" w:rsidP="00E27DAE">
      <w:pPr>
        <w:spacing w:after="0" w:line="240" w:lineRule="auto"/>
        <w:contextualSpacing/>
        <w:rPr>
          <w:rFonts w:eastAsia="Times New Roman"/>
          <w:kern w:val="0"/>
          <w:szCs w:val="28"/>
          <w:lang w:bidi="en-US"/>
          <w14:ligatures w14:val="none"/>
        </w:rPr>
      </w:pPr>
    </w:p>
    <w:p w14:paraId="17AB6B7F" w14:textId="77777777" w:rsidR="00E27DAE" w:rsidRPr="00E27DAE" w:rsidRDefault="00E27DAE" w:rsidP="00E27DAE">
      <w:pPr>
        <w:rPr>
          <w:kern w:val="0"/>
          <w14:ligatures w14:val="none"/>
        </w:rPr>
      </w:pPr>
    </w:p>
    <w:p w14:paraId="1EDFD2C3" w14:textId="1FE01EB3" w:rsidR="000B6011" w:rsidRPr="000B6011" w:rsidRDefault="000B6011" w:rsidP="000B6011">
      <w:pPr>
        <w:rPr>
          <w:b/>
          <w:bCs/>
          <w:u w:val="single"/>
        </w:rPr>
      </w:pPr>
      <w:r w:rsidRPr="000B6011">
        <w:rPr>
          <w:b/>
          <w:bCs/>
          <w:u w:val="single"/>
        </w:rPr>
        <w:t xml:space="preserve">Applications Under Consideration for </w:t>
      </w:r>
      <w:r>
        <w:rPr>
          <w:b/>
          <w:bCs/>
          <w:u w:val="single"/>
        </w:rPr>
        <w:t>December</w:t>
      </w:r>
      <w:r w:rsidRPr="000B6011">
        <w:rPr>
          <w:b/>
          <w:bCs/>
          <w:u w:val="single"/>
        </w:rPr>
        <w:t xml:space="preserve"> Board Cycle</w:t>
      </w:r>
    </w:p>
    <w:p w14:paraId="5BD3F697" w14:textId="2723B31E" w:rsidR="000B6011" w:rsidRDefault="000B6011" w:rsidP="000B6011">
      <w:pPr>
        <w:rPr>
          <w:lang w:bidi="en-US"/>
        </w:rPr>
      </w:pPr>
      <w:r w:rsidRPr="000B6011">
        <w:rPr>
          <w:lang w:bidi="en-US"/>
        </w:rPr>
        <w:t xml:space="preserve">Below are summaries (not the actual texts) of the </w:t>
      </w:r>
      <w:r w:rsidR="00CB6EB9">
        <w:rPr>
          <w:lang w:bidi="en-US"/>
        </w:rPr>
        <w:t>16</w:t>
      </w:r>
      <w:r w:rsidRPr="000B6011">
        <w:rPr>
          <w:lang w:bidi="en-US"/>
        </w:rPr>
        <w:t xml:space="preserve"> marker proposals that we received at the last application deadline. These summaries have not undergone the same rigorous fact checking that a marker text would.</w:t>
      </w:r>
      <w:r w:rsidR="00E46FB3" w:rsidRPr="00E46FB3">
        <w:rPr>
          <w:kern w:val="0"/>
          <w:lang w:bidi="en-US"/>
          <w14:ligatures w14:val="none"/>
        </w:rPr>
        <w:t xml:space="preserve"> </w:t>
      </w:r>
      <w:r w:rsidR="00E46FB3" w:rsidRPr="00E46FB3">
        <w:rPr>
          <w:lang w:bidi="en-US"/>
        </w:rPr>
        <w:t>Some applications lacked sufficient source material to verify the information in their proposed texts.</w:t>
      </w:r>
    </w:p>
    <w:p w14:paraId="098720FB" w14:textId="1D198E28" w:rsidR="00CB6EB9" w:rsidRPr="00CB6EB9" w:rsidRDefault="00CB6EB9" w:rsidP="00CB6EB9">
      <w:pPr>
        <w:rPr>
          <w:b/>
          <w:bCs/>
          <w:lang w:bidi="en-US"/>
        </w:rPr>
      </w:pPr>
      <w:r>
        <w:rPr>
          <w:b/>
          <w:bCs/>
          <w:lang w:bidi="en-US"/>
        </w:rPr>
        <w:t xml:space="preserve">1. </w:t>
      </w:r>
      <w:r w:rsidRPr="00CB6EB9">
        <w:rPr>
          <w:b/>
          <w:bCs/>
          <w:lang w:bidi="en-US"/>
        </w:rPr>
        <w:t>Thomas Laws (Clarke County)</w:t>
      </w:r>
    </w:p>
    <w:p w14:paraId="20090471" w14:textId="09D8AD04" w:rsidR="00CB6EB9" w:rsidRPr="00CB6EB9" w:rsidRDefault="00CB6EB9" w:rsidP="00CB6EB9">
      <w:pPr>
        <w:rPr>
          <w:lang w:bidi="en-US"/>
        </w:rPr>
      </w:pPr>
      <w:r w:rsidRPr="00CB6EB9">
        <w:rPr>
          <w:lang w:bidi="en-US"/>
        </w:rPr>
        <w:t xml:space="preserve">Thomas Laws, an enslaved man who lived near Berryville and often traveled into Winchester, visited the city at the request of Gen. Philip Sheridan </w:t>
      </w:r>
      <w:r w:rsidR="001120C8">
        <w:rPr>
          <w:lang w:bidi="en-US"/>
        </w:rPr>
        <w:t xml:space="preserve">in Sept. 1864 </w:t>
      </w:r>
      <w:r w:rsidRPr="00CB6EB9">
        <w:rPr>
          <w:lang w:bidi="en-US"/>
        </w:rPr>
        <w:t xml:space="preserve">and obtained information from Rebecca Wright, a local schoolteacher, about Confederate troop movements. This intelligence led Sheridan to initiate the </w:t>
      </w:r>
      <w:r w:rsidR="001120C8">
        <w:rPr>
          <w:lang w:bidi="en-US"/>
        </w:rPr>
        <w:t xml:space="preserve">Third </w:t>
      </w:r>
      <w:r w:rsidRPr="00CB6EB9">
        <w:rPr>
          <w:lang w:bidi="en-US"/>
        </w:rPr>
        <w:t xml:space="preserve">Battle of Winchester, a pivotal Union victory. </w:t>
      </w:r>
    </w:p>
    <w:p w14:paraId="19A6AD1D" w14:textId="64EF5042" w:rsidR="00CB6EB9" w:rsidRPr="00CB6EB9" w:rsidRDefault="00CB6EB9" w:rsidP="00CB6EB9">
      <w:pPr>
        <w:rPr>
          <w:b/>
          <w:bCs/>
          <w:lang w:bidi="en-US"/>
        </w:rPr>
      </w:pPr>
      <w:r>
        <w:rPr>
          <w:b/>
          <w:bCs/>
          <w:lang w:bidi="en-US"/>
        </w:rPr>
        <w:t xml:space="preserve">2. </w:t>
      </w:r>
      <w:r w:rsidRPr="00CB6EB9">
        <w:rPr>
          <w:b/>
          <w:bCs/>
          <w:lang w:bidi="en-US"/>
        </w:rPr>
        <w:t>James A. Bland High School (Town of Big Stone Gap)</w:t>
      </w:r>
    </w:p>
    <w:p w14:paraId="2A4BE384" w14:textId="77777777" w:rsidR="00CB6EB9" w:rsidRPr="00CB6EB9" w:rsidRDefault="00CB6EB9" w:rsidP="00CB6EB9">
      <w:pPr>
        <w:rPr>
          <w:lang w:bidi="en-US"/>
        </w:rPr>
      </w:pPr>
      <w:r w:rsidRPr="00CB6EB9">
        <w:rPr>
          <w:lang w:bidi="en-US"/>
        </w:rPr>
        <w:lastRenderedPageBreak/>
        <w:t>James A. Bland High School, named for the celebrated African American composer, was completed in 1953 in an effort to equalize schools for Black students. Open from 1954 to 1965 and led by principal Cato Hadras Shorter, it was a cornerstone of community life for Black residents of Wise and Lee Counties.</w:t>
      </w:r>
    </w:p>
    <w:p w14:paraId="04D9F2A8" w14:textId="30134E3D" w:rsidR="00CB6EB9" w:rsidRPr="00CB6EB9" w:rsidRDefault="00CB6EB9" w:rsidP="00CB6EB9">
      <w:pPr>
        <w:rPr>
          <w:b/>
          <w:bCs/>
          <w:lang w:bidi="en-US"/>
        </w:rPr>
      </w:pPr>
      <w:r>
        <w:rPr>
          <w:b/>
          <w:bCs/>
          <w:lang w:bidi="en-US"/>
        </w:rPr>
        <w:t xml:space="preserve">3. </w:t>
      </w:r>
      <w:r w:rsidRPr="00CB6EB9">
        <w:rPr>
          <w:b/>
          <w:bCs/>
          <w:lang w:bidi="en-US"/>
        </w:rPr>
        <w:t>Hippodrome Theatre and the T.O.B.A. Circuit (City of Danville)</w:t>
      </w:r>
    </w:p>
    <w:p w14:paraId="383ED273" w14:textId="73BEBFA2" w:rsidR="00CB6EB9" w:rsidRPr="00CB6EB9" w:rsidRDefault="00CB6EB9" w:rsidP="00CB6EB9">
      <w:pPr>
        <w:rPr>
          <w:lang w:bidi="en-US"/>
        </w:rPr>
      </w:pPr>
      <w:r w:rsidRPr="00CB6EB9">
        <w:rPr>
          <w:lang w:bidi="en-US"/>
        </w:rPr>
        <w:t xml:space="preserve">The Hippodrome Theatre, </w:t>
      </w:r>
      <w:r w:rsidR="001120C8">
        <w:rPr>
          <w:lang w:bidi="en-US"/>
        </w:rPr>
        <w:t>purpose-</w:t>
      </w:r>
      <w:r w:rsidRPr="00CB6EB9">
        <w:rPr>
          <w:lang w:bidi="en-US"/>
        </w:rPr>
        <w:t xml:space="preserve">built for the African American community, opened in 1917. It was part of the S. H. Dudley Circuit under the Theatre Owners Booking Association, or T.O.B.A., which provided African American audiences with vaudeville variety shows and played a foundational role in the </w:t>
      </w:r>
      <w:r w:rsidR="001120C8">
        <w:rPr>
          <w:lang w:bidi="en-US"/>
        </w:rPr>
        <w:t xml:space="preserve">development of the </w:t>
      </w:r>
      <w:r w:rsidRPr="00CB6EB9">
        <w:rPr>
          <w:lang w:bidi="en-US"/>
        </w:rPr>
        <w:t>African American entertainment industry.</w:t>
      </w:r>
    </w:p>
    <w:p w14:paraId="2CE89B71" w14:textId="497BC907" w:rsidR="00CB6EB9" w:rsidRPr="00CB6EB9" w:rsidRDefault="00CB6EB9" w:rsidP="00CB6EB9">
      <w:pPr>
        <w:rPr>
          <w:b/>
          <w:bCs/>
          <w:lang w:bidi="en-US"/>
        </w:rPr>
      </w:pPr>
      <w:r>
        <w:rPr>
          <w:b/>
          <w:bCs/>
          <w:lang w:bidi="en-US"/>
        </w:rPr>
        <w:t xml:space="preserve">4. </w:t>
      </w:r>
      <w:r w:rsidRPr="00CB6EB9">
        <w:rPr>
          <w:b/>
          <w:bCs/>
          <w:lang w:bidi="en-US"/>
        </w:rPr>
        <w:t>Battle of Wyerman’s Mill (Lee County</w:t>
      </w:r>
      <w:r>
        <w:rPr>
          <w:b/>
          <w:bCs/>
          <w:lang w:bidi="en-US"/>
        </w:rPr>
        <w:t>)</w:t>
      </w:r>
    </w:p>
    <w:p w14:paraId="6AB9789E" w14:textId="4D22D05D" w:rsidR="00CB6EB9" w:rsidRDefault="00CB6EB9" w:rsidP="00CB6EB9">
      <w:pPr>
        <w:rPr>
          <w:lang w:bidi="en-US"/>
        </w:rPr>
      </w:pPr>
      <w:r w:rsidRPr="00CB6EB9">
        <w:rPr>
          <w:lang w:bidi="en-US"/>
        </w:rPr>
        <w:t>After winning the Battle of Jonesville in Jan. 1864, Confederate General William E. “Grumble” Jones and his 1,500 cavalrymen surrounded and attacked a federal encampment at Wyerman’s Mill on 22 Feb. in hopes of retaking the Cumberland Gap. The Confederates soundly defeated the Union forces and maintained control over the fertile valley of Lee County for the rest of the war, but were not able to retake the Cumberland Gap</w:t>
      </w:r>
      <w:r>
        <w:rPr>
          <w:lang w:bidi="en-US"/>
        </w:rPr>
        <w:t>.</w:t>
      </w:r>
    </w:p>
    <w:p w14:paraId="09DB7D13" w14:textId="6354CA8F" w:rsidR="00CB6EB9" w:rsidRPr="00CB6EB9" w:rsidRDefault="00CB6EB9" w:rsidP="00CB6EB9">
      <w:pPr>
        <w:rPr>
          <w:b/>
          <w:bCs/>
          <w:lang w:bidi="en-US"/>
        </w:rPr>
      </w:pPr>
      <w:r>
        <w:rPr>
          <w:b/>
          <w:bCs/>
          <w:lang w:bidi="en-US"/>
        </w:rPr>
        <w:t xml:space="preserve">5. </w:t>
      </w:r>
      <w:r w:rsidRPr="00CB6EB9">
        <w:rPr>
          <w:b/>
          <w:bCs/>
          <w:lang w:bidi="en-US"/>
        </w:rPr>
        <w:t>Maymont (City of Richmond)</w:t>
      </w:r>
    </w:p>
    <w:p w14:paraId="4459F1DB" w14:textId="77777777" w:rsidR="00CB6EB9" w:rsidRPr="00CB6EB9" w:rsidRDefault="00CB6EB9" w:rsidP="00CB6EB9">
      <w:pPr>
        <w:rPr>
          <w:lang w:bidi="en-US"/>
        </w:rPr>
      </w:pPr>
      <w:r w:rsidRPr="00CB6EB9">
        <w:rPr>
          <w:lang w:bidi="en-US"/>
        </w:rPr>
        <w:t>A 100-acre intact Gilded Age estate of the post-Reconstruction South, Maymont was the home of railroad magnate James H. Dooley (1841-1922) and his wife Sallie O. Dooley (1846-1925). The mansion was designed by local architect Edgerton Rogers, completed in 1893, and furnished with artistic objects gathered on the Dooleys’ world travels. A staff of 30, primarily African American, cared for the estate. In 1925, after Mrs. Dooley’s death, Maymont was gifted to the City of Richmond to become a museum and park.</w:t>
      </w:r>
    </w:p>
    <w:p w14:paraId="1E908776" w14:textId="7F227C1A" w:rsidR="00CB6EB9" w:rsidRPr="00CB6EB9" w:rsidRDefault="00CB6EB9" w:rsidP="00CB6EB9">
      <w:pPr>
        <w:rPr>
          <w:b/>
          <w:bCs/>
          <w:lang w:bidi="en-US"/>
        </w:rPr>
      </w:pPr>
      <w:r>
        <w:rPr>
          <w:b/>
          <w:bCs/>
          <w:lang w:bidi="en-US"/>
        </w:rPr>
        <w:t xml:space="preserve">6. </w:t>
      </w:r>
      <w:r w:rsidRPr="00CB6EB9">
        <w:rPr>
          <w:b/>
          <w:bCs/>
          <w:lang w:bidi="en-US"/>
        </w:rPr>
        <w:t>Gen. Anthony Wayne’s Rappahannock Crossing (Fauquier County)</w:t>
      </w:r>
    </w:p>
    <w:p w14:paraId="29A97DFB" w14:textId="26A7C807" w:rsidR="00CB6EB9" w:rsidRPr="00CB6EB9" w:rsidRDefault="00CB6EB9" w:rsidP="00CB6EB9">
      <w:pPr>
        <w:rPr>
          <w:lang w:bidi="en-US"/>
        </w:rPr>
      </w:pPr>
      <w:r w:rsidRPr="00CB6EB9">
        <w:rPr>
          <w:lang w:bidi="en-US"/>
        </w:rPr>
        <w:t>Gen. Anthony Wayne and 800 men of the Pennsylvania Continental Line arrived on the northern bank of the flooded Rappahannock River on 7 June 1781. They forded the river the next day and</w:t>
      </w:r>
      <w:r w:rsidR="00E46FB3">
        <w:rPr>
          <w:lang w:bidi="en-US"/>
        </w:rPr>
        <w:t xml:space="preserve"> </w:t>
      </w:r>
      <w:r w:rsidRPr="00CB6EB9">
        <w:rPr>
          <w:lang w:bidi="en-US"/>
        </w:rPr>
        <w:t>joined Maj. Gen. Marquis de Lafayette and his troops in Culpeper County on 10 June. The combined forces numbering approximately 4,000 men then pursued British Gen. Cornwallis to Yorktown and greatly contributed to Cornwallis’ eventual surrender on 19 Oct. 1781.</w:t>
      </w:r>
    </w:p>
    <w:p w14:paraId="4E00D4B4" w14:textId="4AA0654B" w:rsidR="00CB6EB9" w:rsidRPr="00CB6EB9" w:rsidRDefault="00CB6EB9" w:rsidP="00CB6EB9">
      <w:pPr>
        <w:rPr>
          <w:b/>
          <w:bCs/>
          <w:lang w:bidi="en-US"/>
        </w:rPr>
      </w:pPr>
      <w:r>
        <w:rPr>
          <w:b/>
          <w:bCs/>
          <w:lang w:bidi="en-US"/>
        </w:rPr>
        <w:t xml:space="preserve">7. </w:t>
      </w:r>
      <w:r w:rsidRPr="00CB6EB9">
        <w:rPr>
          <w:b/>
          <w:bCs/>
          <w:lang w:bidi="en-US"/>
        </w:rPr>
        <w:t>Cypress Baptist Church (Surry County)</w:t>
      </w:r>
    </w:p>
    <w:p w14:paraId="10ECD822" w14:textId="633A0886" w:rsidR="00CB6EB9" w:rsidRPr="00CB6EB9" w:rsidRDefault="00CB6EB9" w:rsidP="00CB6EB9">
      <w:pPr>
        <w:rPr>
          <w:lang w:bidi="en-US"/>
        </w:rPr>
      </w:pPr>
      <w:r w:rsidRPr="00CB6EB9">
        <w:rPr>
          <w:lang w:bidi="en-US"/>
        </w:rPr>
        <w:t xml:space="preserve">Cypress Baptist Church, one of the oldest African American Baptist churches in Surry, was organized in 1866 under the leadership of Irene George, aided by Amelia “Mother” Howard, an Episcopalian sent by the Freedmen’s Bureau to organize Black churches. </w:t>
      </w:r>
      <w:r w:rsidR="001120C8">
        <w:rPr>
          <w:lang w:bidi="en-US"/>
        </w:rPr>
        <w:t>Howard</w:t>
      </w:r>
      <w:r w:rsidRPr="00CB6EB9">
        <w:rPr>
          <w:lang w:bidi="en-US"/>
        </w:rPr>
        <w:t xml:space="preserve"> established seven churches in the area. A school was built across from the church to serve Black children.</w:t>
      </w:r>
    </w:p>
    <w:p w14:paraId="2093AD81" w14:textId="59B3CA7F" w:rsidR="00CB6EB9" w:rsidRPr="00CB6EB9" w:rsidRDefault="00CB6EB9" w:rsidP="00CB6EB9">
      <w:pPr>
        <w:rPr>
          <w:b/>
          <w:bCs/>
          <w:lang w:bidi="en-US"/>
        </w:rPr>
      </w:pPr>
      <w:r>
        <w:rPr>
          <w:b/>
          <w:bCs/>
          <w:lang w:bidi="en-US"/>
        </w:rPr>
        <w:t xml:space="preserve">8. </w:t>
      </w:r>
      <w:r w:rsidRPr="00CB6EB9">
        <w:rPr>
          <w:b/>
          <w:bCs/>
          <w:lang w:bidi="en-US"/>
        </w:rPr>
        <w:t>Home of Future U.S. President Jimmy Carter (City of Norfolk)</w:t>
      </w:r>
    </w:p>
    <w:p w14:paraId="5C73FEDC" w14:textId="0971D3A9" w:rsidR="00CB6EB9" w:rsidRPr="00CB6EB9" w:rsidRDefault="00CB6EB9" w:rsidP="00CB6EB9">
      <w:pPr>
        <w:rPr>
          <w:lang w:bidi="en-US"/>
        </w:rPr>
      </w:pPr>
      <w:r w:rsidRPr="00CB6EB9">
        <w:rPr>
          <w:lang w:bidi="en-US"/>
        </w:rPr>
        <w:t>Navy Ensign Jimmy Carter and his wife, Rosalynn, moved to Norfolk in 194</w:t>
      </w:r>
      <w:r w:rsidR="001C1E1A">
        <w:rPr>
          <w:lang w:bidi="en-US"/>
        </w:rPr>
        <w:t>6</w:t>
      </w:r>
      <w:r w:rsidRPr="00CB6EB9">
        <w:rPr>
          <w:lang w:bidi="en-US"/>
        </w:rPr>
        <w:t xml:space="preserve">. Carter served aboard two ships </w:t>
      </w:r>
      <w:r w:rsidR="00350925">
        <w:rPr>
          <w:lang w:bidi="en-US"/>
        </w:rPr>
        <w:t>while stationed there</w:t>
      </w:r>
      <w:r w:rsidRPr="00CB6EB9">
        <w:rPr>
          <w:lang w:bidi="en-US"/>
        </w:rPr>
        <w:t xml:space="preserve">, developing leadership skills. Later governor of Georgia and 39th President of the U.S., he led the Camp David Peace Accords, established the </w:t>
      </w:r>
      <w:r w:rsidRPr="00CB6EB9">
        <w:rPr>
          <w:lang w:bidi="en-US"/>
        </w:rPr>
        <w:lastRenderedPageBreak/>
        <w:t>Departments of Education and Energy, expanded the national parks, normalized relations with China, and established the Carter Center. After leaving office, the Carters focused on humanitarianism and international development. Carter won the Nobel Peace Prize in 2002.</w:t>
      </w:r>
    </w:p>
    <w:p w14:paraId="3BA46FB0" w14:textId="7E6318D8" w:rsidR="00CB6EB9" w:rsidRPr="00CB6EB9" w:rsidRDefault="00CB6EB9" w:rsidP="00CB6EB9">
      <w:pPr>
        <w:rPr>
          <w:b/>
          <w:bCs/>
          <w:lang w:bidi="en-US"/>
        </w:rPr>
      </w:pPr>
      <w:r>
        <w:rPr>
          <w:b/>
          <w:bCs/>
          <w:lang w:bidi="en-US"/>
        </w:rPr>
        <w:t xml:space="preserve">9. </w:t>
      </w:r>
      <w:r w:rsidRPr="00CB6EB9">
        <w:rPr>
          <w:b/>
          <w:bCs/>
          <w:lang w:bidi="en-US"/>
        </w:rPr>
        <w:t>Northside High School (Pittsylvania County)</w:t>
      </w:r>
    </w:p>
    <w:p w14:paraId="5FEED411" w14:textId="46804ABF" w:rsidR="00CB6EB9" w:rsidRDefault="00CB6EB9" w:rsidP="00CB6EB9">
      <w:pPr>
        <w:rPr>
          <w:bCs/>
          <w:lang w:bidi="en-US"/>
        </w:rPr>
      </w:pPr>
      <w:r w:rsidRPr="00CB6EB9">
        <w:rPr>
          <w:bCs/>
          <w:lang w:bidi="en-US"/>
        </w:rPr>
        <w:t xml:space="preserve">Established in 1903 in present-day Gretna, the Pittsylvania County Industrial &amp; Normal Collegiate Institute was founded with the support of the Cherrystone Missionary Baptist Association. This was one of the first private boarding schools for African Americans in Southside Virginia. The Pittsylvania County school board </w:t>
      </w:r>
      <w:r w:rsidR="00E2479A">
        <w:rPr>
          <w:bCs/>
          <w:lang w:bidi="en-US"/>
        </w:rPr>
        <w:t>opened</w:t>
      </w:r>
      <w:r w:rsidRPr="00CB6EB9">
        <w:rPr>
          <w:bCs/>
          <w:lang w:bidi="en-US"/>
        </w:rPr>
        <w:t xml:space="preserve"> a public high school for African Americans</w:t>
      </w:r>
      <w:r w:rsidR="001120C8">
        <w:rPr>
          <w:bCs/>
          <w:lang w:bidi="en-US"/>
        </w:rPr>
        <w:t xml:space="preserve"> in Gretna in the 1930s</w:t>
      </w:r>
      <w:r w:rsidRPr="00CB6EB9">
        <w:rPr>
          <w:bCs/>
          <w:lang w:bidi="en-US"/>
        </w:rPr>
        <w:t>. In 1949, two years after the addition of the 12th grade, it was renamed Northside High School.</w:t>
      </w:r>
    </w:p>
    <w:p w14:paraId="6470614A" w14:textId="68F7A771" w:rsidR="00CB6EB9" w:rsidRPr="00CB6EB9" w:rsidRDefault="00CB6EB9" w:rsidP="00CB6EB9">
      <w:pPr>
        <w:rPr>
          <w:b/>
          <w:bCs/>
          <w:lang w:bidi="en-US"/>
        </w:rPr>
      </w:pPr>
      <w:r>
        <w:rPr>
          <w:b/>
          <w:bCs/>
          <w:lang w:bidi="en-US"/>
        </w:rPr>
        <w:t xml:space="preserve">10. </w:t>
      </w:r>
      <w:r w:rsidRPr="00CB6EB9">
        <w:rPr>
          <w:b/>
          <w:bCs/>
          <w:lang w:bidi="en-US"/>
        </w:rPr>
        <w:t>Clarence Smith (City of Danville)</w:t>
      </w:r>
    </w:p>
    <w:p w14:paraId="46513703" w14:textId="4DDCEC9A" w:rsidR="00CB6EB9" w:rsidRPr="00CB6EB9" w:rsidRDefault="00CB6EB9" w:rsidP="00CB6EB9">
      <w:pPr>
        <w:rPr>
          <w:lang w:bidi="en-US"/>
        </w:rPr>
      </w:pPr>
      <w:r w:rsidRPr="00CB6EB9">
        <w:rPr>
          <w:lang w:bidi="en-US"/>
        </w:rPr>
        <w:t xml:space="preserve">Clarence Smith, born in Danville, rose to prominence as the founder of the Five Percent Nation, which he </w:t>
      </w:r>
      <w:r w:rsidR="00E2479A">
        <w:rPr>
          <w:lang w:bidi="en-US"/>
        </w:rPr>
        <w:t>established</w:t>
      </w:r>
      <w:r w:rsidRPr="00CB6EB9">
        <w:rPr>
          <w:lang w:bidi="en-US"/>
        </w:rPr>
        <w:t xml:space="preserve"> in New York in 1963. Smith, who became known as Allah, championed self-knowledge, empowerment, and the belief in the divinity of the Black man. In 1967, he </w:t>
      </w:r>
      <w:r w:rsidR="00E2479A">
        <w:rPr>
          <w:lang w:bidi="en-US"/>
        </w:rPr>
        <w:t xml:space="preserve">founded </w:t>
      </w:r>
      <w:r w:rsidRPr="00CB6EB9">
        <w:rPr>
          <w:lang w:bidi="en-US"/>
        </w:rPr>
        <w:t>the Allah School in Mecca in Harlem, NY. The beliefs of the Five Percent Nation influenced music, culture, and identity.</w:t>
      </w:r>
    </w:p>
    <w:p w14:paraId="4A10E277" w14:textId="0E697582" w:rsidR="00CB6EB9" w:rsidRPr="00CB6EB9" w:rsidRDefault="00CB6EB9" w:rsidP="00CB6EB9">
      <w:pPr>
        <w:rPr>
          <w:b/>
          <w:bCs/>
          <w:lang w:bidi="en-US"/>
        </w:rPr>
      </w:pPr>
      <w:r>
        <w:rPr>
          <w:b/>
          <w:bCs/>
          <w:lang w:bidi="en-US"/>
        </w:rPr>
        <w:t xml:space="preserve">11. </w:t>
      </w:r>
      <w:r w:rsidRPr="00CB6EB9">
        <w:rPr>
          <w:b/>
          <w:bCs/>
          <w:lang w:bidi="en-US"/>
        </w:rPr>
        <w:t>Goochland Recreational Center, Inc. (Goochland County)</w:t>
      </w:r>
    </w:p>
    <w:p w14:paraId="04CCC70D" w14:textId="380CA5E9" w:rsidR="00CB6EB9" w:rsidRPr="00CB6EB9" w:rsidRDefault="00CB6EB9" w:rsidP="00CB6EB9">
      <w:pPr>
        <w:rPr>
          <w:lang w:bidi="en-US"/>
        </w:rPr>
      </w:pPr>
      <w:r w:rsidRPr="00CB6EB9">
        <w:rPr>
          <w:lang w:bidi="en-US"/>
        </w:rPr>
        <w:t xml:space="preserve">The Goochland Recreational Center was founded </w:t>
      </w:r>
      <w:r w:rsidR="00E2479A">
        <w:rPr>
          <w:lang w:bidi="en-US"/>
        </w:rPr>
        <w:t>after</w:t>
      </w:r>
      <w:r w:rsidRPr="00CB6EB9">
        <w:rPr>
          <w:lang w:bidi="en-US"/>
        </w:rPr>
        <w:t xml:space="preserve"> a community meeting of African American citizens on 5 April 1961. In an era when segregation barred Black families from many public recreational facilities, the center provided a safe, welcoming gathering place for youth</w:t>
      </w:r>
      <w:r w:rsidR="00E2479A">
        <w:rPr>
          <w:lang w:bidi="en-US"/>
        </w:rPr>
        <w:t xml:space="preserve"> and </w:t>
      </w:r>
      <w:r w:rsidRPr="00CB6EB9">
        <w:rPr>
          <w:lang w:bidi="en-US"/>
        </w:rPr>
        <w:t>families</w:t>
      </w:r>
      <w:r w:rsidR="00E2479A">
        <w:rPr>
          <w:lang w:bidi="en-US"/>
        </w:rPr>
        <w:t xml:space="preserve"> </w:t>
      </w:r>
      <w:r w:rsidRPr="00CB6EB9">
        <w:rPr>
          <w:lang w:bidi="en-US"/>
        </w:rPr>
        <w:t>that was open to all citizens of Goochland County, regardless of race.</w:t>
      </w:r>
    </w:p>
    <w:p w14:paraId="4C0E4432" w14:textId="29B03850" w:rsidR="00CB6EB9" w:rsidRPr="00CB6EB9" w:rsidRDefault="00CB6EB9" w:rsidP="00CB6EB9">
      <w:pPr>
        <w:rPr>
          <w:b/>
          <w:bCs/>
          <w:lang w:bidi="en-US"/>
        </w:rPr>
      </w:pPr>
      <w:r>
        <w:rPr>
          <w:b/>
          <w:bCs/>
          <w:lang w:bidi="en-US"/>
        </w:rPr>
        <w:t xml:space="preserve">12. </w:t>
      </w:r>
      <w:r w:rsidRPr="00CB6EB9">
        <w:rPr>
          <w:b/>
          <w:bCs/>
          <w:lang w:bidi="en-US"/>
        </w:rPr>
        <w:t>Crossing the Watershed Divide (Roanoke County)</w:t>
      </w:r>
    </w:p>
    <w:p w14:paraId="5A5B06D5" w14:textId="339B5DC4" w:rsidR="00CB6EB9" w:rsidRPr="00CB6EB9" w:rsidRDefault="00CB6EB9" w:rsidP="00CB6EB9">
      <w:pPr>
        <w:rPr>
          <w:lang w:bidi="en-US"/>
        </w:rPr>
      </w:pPr>
      <w:r w:rsidRPr="00CB6EB9">
        <w:rPr>
          <w:lang w:bidi="en-US"/>
        </w:rPr>
        <w:t xml:space="preserve">This pathway has likely been traveled since the Late Woodland Period. “The Indian Road” established by the 1744 Treaty of Lancaster between the Six Nations of the Iroquois confederacy and the colonial governments of Virginia, Maryland, and Pennsylvania crossed the divide between the James River and Roanoke River watersheds here. Settlers moving southwest used this route, and some settled </w:t>
      </w:r>
      <w:r w:rsidR="00E2479A">
        <w:rPr>
          <w:lang w:bidi="en-US"/>
        </w:rPr>
        <w:t>nearby.</w:t>
      </w:r>
    </w:p>
    <w:p w14:paraId="74D26818" w14:textId="2CC26839" w:rsidR="00CB6EB9" w:rsidRPr="00CB6EB9" w:rsidRDefault="00CB6EB9" w:rsidP="00CB6EB9">
      <w:pPr>
        <w:rPr>
          <w:b/>
          <w:bCs/>
          <w:lang w:bidi="en-US"/>
        </w:rPr>
      </w:pPr>
      <w:r>
        <w:rPr>
          <w:b/>
          <w:bCs/>
          <w:lang w:bidi="en-US"/>
        </w:rPr>
        <w:t xml:space="preserve">13. </w:t>
      </w:r>
      <w:r w:rsidRPr="00CB6EB9">
        <w:rPr>
          <w:b/>
          <w:bCs/>
          <w:lang w:bidi="en-US"/>
        </w:rPr>
        <w:t>Sir John Peyton (Mathews County)</w:t>
      </w:r>
    </w:p>
    <w:p w14:paraId="46F061BF" w14:textId="6526E48F" w:rsidR="00CB6EB9" w:rsidRPr="00CB6EB9" w:rsidRDefault="00CB6EB9" w:rsidP="00CB6EB9">
      <w:pPr>
        <w:rPr>
          <w:lang w:bidi="en-US"/>
        </w:rPr>
      </w:pPr>
      <w:r w:rsidRPr="00CB6EB9">
        <w:rPr>
          <w:lang w:bidi="en-US"/>
        </w:rPr>
        <w:t>Sir John Peyton (ca. 1720-1790), baronet, lived at Isleham in Gloucester County (later Mathews County). He served as colonel of the Gloucester militia and donated arms to the unit during the Revolutionary War. He served as sheriff, justice of the peace, church warden, and member of the General Assembly.</w:t>
      </w:r>
    </w:p>
    <w:p w14:paraId="2D595CBD" w14:textId="1DE47FFF" w:rsidR="00CB6EB9" w:rsidRPr="00CB6EB9" w:rsidRDefault="00CB6EB9" w:rsidP="00CB6EB9">
      <w:pPr>
        <w:rPr>
          <w:b/>
          <w:bCs/>
          <w:lang w:bidi="en-US"/>
        </w:rPr>
      </w:pPr>
      <w:r>
        <w:rPr>
          <w:b/>
          <w:bCs/>
          <w:lang w:bidi="en-US"/>
        </w:rPr>
        <w:t xml:space="preserve">14. </w:t>
      </w:r>
      <w:r w:rsidRPr="00CB6EB9">
        <w:rPr>
          <w:b/>
          <w:bCs/>
          <w:lang w:bidi="en-US"/>
        </w:rPr>
        <w:t>Pohick Indians (Fairfax County)</w:t>
      </w:r>
    </w:p>
    <w:p w14:paraId="58477BA7" w14:textId="3A6DC55C" w:rsidR="00CB6EB9" w:rsidRPr="00CB6EB9" w:rsidRDefault="00CB6EB9" w:rsidP="00CB6EB9">
      <w:pPr>
        <w:rPr>
          <w:lang w:bidi="en-US"/>
        </w:rPr>
      </w:pPr>
      <w:r w:rsidRPr="00CB6EB9">
        <w:rPr>
          <w:lang w:bidi="en-US"/>
        </w:rPr>
        <w:t xml:space="preserve">The </w:t>
      </w:r>
      <w:r w:rsidR="001120C8">
        <w:rPr>
          <w:lang w:bidi="en-US"/>
        </w:rPr>
        <w:t>name “</w:t>
      </w:r>
      <w:r w:rsidRPr="00CB6EB9">
        <w:rPr>
          <w:lang w:bidi="en-US"/>
        </w:rPr>
        <w:t>Pohick</w:t>
      </w:r>
      <w:r w:rsidR="001120C8">
        <w:rPr>
          <w:lang w:bidi="en-US"/>
        </w:rPr>
        <w:t xml:space="preserve">,” derived from an Algonquian word meaning “hickory” or </w:t>
      </w:r>
      <w:r w:rsidR="00E2479A">
        <w:rPr>
          <w:lang w:bidi="en-US"/>
        </w:rPr>
        <w:t>“</w:t>
      </w:r>
      <w:r w:rsidRPr="00CB6EB9">
        <w:rPr>
          <w:lang w:bidi="en-US"/>
        </w:rPr>
        <w:t>water place,</w:t>
      </w:r>
      <w:r w:rsidR="00E2479A">
        <w:rPr>
          <w:lang w:bidi="en-US"/>
        </w:rPr>
        <w:t>”</w:t>
      </w:r>
      <w:r w:rsidR="001120C8">
        <w:rPr>
          <w:lang w:bidi="en-US"/>
        </w:rPr>
        <w:t xml:space="preserve"> has endured in the names of features in Fairfax County such as </w:t>
      </w:r>
      <w:r w:rsidRPr="00CB6EB9">
        <w:rPr>
          <w:lang w:bidi="en-US"/>
        </w:rPr>
        <w:t xml:space="preserve">Pohick Creek and Pohick Bay, </w:t>
      </w:r>
      <w:r w:rsidR="001120C8">
        <w:rPr>
          <w:lang w:bidi="en-US"/>
        </w:rPr>
        <w:t xml:space="preserve">reflecting </w:t>
      </w:r>
      <w:r w:rsidRPr="00CB6EB9">
        <w:rPr>
          <w:lang w:bidi="en-US"/>
        </w:rPr>
        <w:t>the area's rich Native American history.</w:t>
      </w:r>
    </w:p>
    <w:p w14:paraId="5CBDB219" w14:textId="409C95F6" w:rsidR="00CB6EB9" w:rsidRPr="00CB6EB9" w:rsidRDefault="00CB6EB9" w:rsidP="00CB6EB9">
      <w:pPr>
        <w:rPr>
          <w:b/>
          <w:bCs/>
          <w:lang w:bidi="en-US"/>
        </w:rPr>
      </w:pPr>
      <w:r>
        <w:rPr>
          <w:b/>
          <w:bCs/>
          <w:lang w:bidi="en-US"/>
        </w:rPr>
        <w:lastRenderedPageBreak/>
        <w:t xml:space="preserve">15. </w:t>
      </w:r>
      <w:r w:rsidRPr="00CB6EB9">
        <w:rPr>
          <w:b/>
          <w:bCs/>
          <w:lang w:bidi="en-US"/>
        </w:rPr>
        <w:t>Mojo Nixon (City of Danville)</w:t>
      </w:r>
    </w:p>
    <w:p w14:paraId="74665EA4" w14:textId="77777777" w:rsidR="00CB6EB9" w:rsidRPr="00CB6EB9" w:rsidRDefault="00CB6EB9" w:rsidP="00CB6EB9">
      <w:pPr>
        <w:rPr>
          <w:lang w:bidi="en-US"/>
        </w:rPr>
      </w:pPr>
      <w:r w:rsidRPr="00CB6EB9">
        <w:rPr>
          <w:lang w:bidi="en-US"/>
        </w:rPr>
        <w:t>Born Neill Kirby McMillan Jr. and raised in Danville, Mojo Nixon was a recording artist, actor, MTV host, and radio personality whose irreverent blend of psychobilly and Southern satire rose to national prominence. Influenced by his father’s soul station WILA, he released several Top 10 College Radio albums in the 1980s and 1990s, including the cult anthem “Elvis Is Everywhere.” He shaped pop culture through film, television, and more than two decades as host of SiriusXM Outlaw Country.</w:t>
      </w:r>
    </w:p>
    <w:p w14:paraId="4561ECF2" w14:textId="7FD5A324" w:rsidR="00CB6EB9" w:rsidRPr="00CB6EB9" w:rsidRDefault="00CB6EB9" w:rsidP="00CB6EB9">
      <w:pPr>
        <w:rPr>
          <w:b/>
          <w:bCs/>
          <w:lang w:bidi="en-US"/>
        </w:rPr>
      </w:pPr>
      <w:r>
        <w:rPr>
          <w:b/>
          <w:bCs/>
          <w:lang w:bidi="en-US"/>
        </w:rPr>
        <w:t xml:space="preserve">16. </w:t>
      </w:r>
      <w:r w:rsidRPr="00CB6EB9">
        <w:rPr>
          <w:b/>
          <w:bCs/>
          <w:lang w:bidi="en-US"/>
        </w:rPr>
        <w:t>French Quarter Café (City of Alexandria)</w:t>
      </w:r>
    </w:p>
    <w:p w14:paraId="58CBEA50" w14:textId="0903F1FE" w:rsidR="00CB6EB9" w:rsidRPr="00CB6EB9" w:rsidRDefault="00CB6EB9" w:rsidP="00CB6EB9">
      <w:pPr>
        <w:rPr>
          <w:lang w:bidi="en-US"/>
        </w:rPr>
      </w:pPr>
      <w:r w:rsidRPr="00CB6EB9">
        <w:rPr>
          <w:lang w:bidi="en-US"/>
        </w:rPr>
        <w:t>The French Quarter Café, which opened in 1991, was an early gay bar in Northern Virginia. It was a plaintiff in a lawsuit filed in U.S. District Court challenging Virginia laws that prohibited establishments with liquor licenses from employing</w:t>
      </w:r>
      <w:r w:rsidR="00E2479A">
        <w:rPr>
          <w:lang w:bidi="en-US"/>
        </w:rPr>
        <w:t xml:space="preserve"> or becoming a gathering place for</w:t>
      </w:r>
      <w:r w:rsidRPr="00CB6EB9">
        <w:rPr>
          <w:lang w:bidi="en-US"/>
        </w:rPr>
        <w:t xml:space="preserve"> “homosexuals</w:t>
      </w:r>
      <w:r w:rsidR="00E2479A">
        <w:rPr>
          <w:lang w:bidi="en-US"/>
        </w:rPr>
        <w:t>.</w:t>
      </w:r>
      <w:r w:rsidRPr="00CB6EB9">
        <w:rPr>
          <w:lang w:bidi="en-US"/>
        </w:rPr>
        <w:t>” On 28 Oct. 1991, the plaintiffs and the Office of the Attorney General reached a settlement in which the</w:t>
      </w:r>
      <w:r w:rsidR="00927D44">
        <w:rPr>
          <w:lang w:bidi="en-US"/>
        </w:rPr>
        <w:t>se</w:t>
      </w:r>
      <w:r w:rsidRPr="00CB6EB9">
        <w:rPr>
          <w:lang w:bidi="en-US"/>
        </w:rPr>
        <w:t xml:space="preserve"> law</w:t>
      </w:r>
      <w:r w:rsidR="00927D44">
        <w:rPr>
          <w:lang w:bidi="en-US"/>
        </w:rPr>
        <w:t>s</w:t>
      </w:r>
      <w:r w:rsidRPr="00CB6EB9">
        <w:rPr>
          <w:lang w:bidi="en-US"/>
        </w:rPr>
        <w:t xml:space="preserve"> w</w:t>
      </w:r>
      <w:r w:rsidR="00927D44">
        <w:rPr>
          <w:lang w:bidi="en-US"/>
        </w:rPr>
        <w:t>ere</w:t>
      </w:r>
      <w:r w:rsidRPr="00CB6EB9">
        <w:rPr>
          <w:lang w:bidi="en-US"/>
        </w:rPr>
        <w:t xml:space="preserve"> declared unconstitutional.</w:t>
      </w:r>
    </w:p>
    <w:p w14:paraId="592EA3C3" w14:textId="77777777" w:rsidR="00E2479A" w:rsidRDefault="00E2479A" w:rsidP="000B6011">
      <w:pPr>
        <w:rPr>
          <w:b/>
          <w:bCs/>
          <w:u w:val="single"/>
        </w:rPr>
      </w:pPr>
    </w:p>
    <w:p w14:paraId="43E3D40D" w14:textId="07336176" w:rsidR="000B6011" w:rsidRPr="000B6011" w:rsidRDefault="000B6011" w:rsidP="000B6011">
      <w:pPr>
        <w:rPr>
          <w:b/>
          <w:bCs/>
          <w:u w:val="single"/>
        </w:rPr>
      </w:pPr>
      <w:r w:rsidRPr="000B6011">
        <w:rPr>
          <w:b/>
          <w:bCs/>
          <w:u w:val="single"/>
        </w:rPr>
        <w:t>Interpretive Sign for Brown Grove Rural Historic District, Hanover County</w:t>
      </w:r>
    </w:p>
    <w:p w14:paraId="0DBD7B2A" w14:textId="40A608FB" w:rsidR="000B6011" w:rsidRDefault="00873E04">
      <w:r w:rsidRPr="00873E04">
        <w:t>The BHR’s responsibilities are to verify that the appearance of th</w:t>
      </w:r>
      <w:r>
        <w:t>is sign</w:t>
      </w:r>
      <w:r w:rsidRPr="00873E04">
        <w:t xml:space="preserve"> is different from those in the state marker program, and to attest to the accuracy of the information presented in the text that appears below. DHR staff </w:t>
      </w:r>
      <w:r w:rsidR="00CA7763">
        <w:t>did not write</w:t>
      </w:r>
      <w:r w:rsidRPr="00873E04">
        <w:t xml:space="preserve"> this text but did verify the information</w:t>
      </w:r>
      <w:r>
        <w:t>.</w:t>
      </w:r>
    </w:p>
    <w:p w14:paraId="68041C20" w14:textId="1B60B8FB" w:rsidR="00DB7CEB" w:rsidRDefault="00350925">
      <w:r>
        <w:t>(</w:t>
      </w:r>
      <w:hyperlink r:id="rId24" w:history="1">
        <w:r w:rsidRPr="001E57A0">
          <w:rPr>
            <w:rStyle w:val="Hyperlink"/>
          </w:rPr>
          <w:t>https://law.lis.virginia.gov/vacode/title10.1/chapter22/section10.1-2209/</w:t>
        </w:r>
      </w:hyperlink>
      <w:r>
        <w:t xml:space="preserve">) </w:t>
      </w:r>
    </w:p>
    <w:p w14:paraId="29559819" w14:textId="464FA023" w:rsidR="00DB7CEB" w:rsidRDefault="00DB7CEB">
      <w:r>
        <w:t xml:space="preserve">The sign will be </w:t>
      </w:r>
      <w:r w:rsidRPr="00DB7CEB">
        <w:t>24 inches wide and 36 inches long</w:t>
      </w:r>
      <w:r>
        <w:t>.</w:t>
      </w:r>
    </w:p>
    <w:p w14:paraId="61547A30" w14:textId="77777777" w:rsidR="00873E04" w:rsidRDefault="00873E04"/>
    <w:p w14:paraId="0D4C404B" w14:textId="6E168346" w:rsidR="00873E04" w:rsidRDefault="00873E04">
      <w:r>
        <w:rPr>
          <w:noProof/>
        </w:rPr>
        <w:drawing>
          <wp:inline distT="0" distB="0" distL="0" distR="0" wp14:anchorId="70B6F7C8" wp14:editId="364CAE77">
            <wp:extent cx="2306620" cy="3194524"/>
            <wp:effectExtent l="0" t="0" r="0" b="6350"/>
            <wp:docPr id="5" name="Picture 4" descr="A picture containing text, newspaper&#10;&#10;AI-generated content may be incorrect.">
              <a:extLst xmlns:a="http://schemas.openxmlformats.org/drawingml/2006/main">
                <a:ext uri="{FF2B5EF4-FFF2-40B4-BE49-F238E27FC236}">
                  <a16:creationId xmlns:a16="http://schemas.microsoft.com/office/drawing/2014/main" id="{EA830675-4336-1610-7F32-4714147987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newspaper&#10;&#10;AI-generated content may be incorrect.">
                      <a:extLst>
                        <a:ext uri="{FF2B5EF4-FFF2-40B4-BE49-F238E27FC236}">
                          <a16:creationId xmlns:a16="http://schemas.microsoft.com/office/drawing/2014/main" id="{EA830675-4336-1610-7F32-4714147987A3}"/>
                        </a:ext>
                      </a:extLst>
                    </pic:cNvPr>
                    <pic:cNvPicPr>
                      <a:picLocks noChangeAspect="1"/>
                    </pic:cNvPicPr>
                  </pic:nvPicPr>
                  <pic:blipFill>
                    <a:blip r:embed="rId25"/>
                    <a:stretch>
                      <a:fillRect/>
                    </a:stretch>
                  </pic:blipFill>
                  <pic:spPr>
                    <a:xfrm>
                      <a:off x="0" y="0"/>
                      <a:ext cx="2306620" cy="3194524"/>
                    </a:xfrm>
                    <a:prstGeom prst="rect">
                      <a:avLst/>
                    </a:prstGeom>
                  </pic:spPr>
                </pic:pic>
              </a:graphicData>
            </a:graphic>
          </wp:inline>
        </w:drawing>
      </w:r>
    </w:p>
    <w:p w14:paraId="110007ED" w14:textId="0B50BCE3" w:rsidR="00873E04" w:rsidRDefault="00873E04">
      <w:r w:rsidRPr="00873E04">
        <w:lastRenderedPageBreak/>
        <w:t>Brown Grove is a historically African American community established post-Civil War during the Reconstruction era, when Black residents began to acquire parcels of land, primarily from subdivided plantations. Until early in the twentieth century, the area was often called Merry Oaks after a nearby eighteenth-century farm. The current name of Brown Grove is likely derived from the Brown family, a portion of whose property was conveyed in 1883 for the construction of the Brown Grove Baptist Church on Ashcake Road, which continues to serve as the community’s spiritual and social center. During the late 1800s and early 1900s, Brown Grove developed into a thriving African American farming community, anchored by the church and connected by a network of farm roads and walking paths which included a handful of locally owned commercial businesses, such as the Jackson Grocery and Jenkins Store. In 1927, a dedicated school for Black students, the Brown Grove School, was completed across the road from the church. After World War II, Brown Grove modernized into a middle-class rural neighborhood, replacing many of its earlier frame dwellings with houses of brick and concrete block. Despite the encroachment of modern development, the community has maintained its continuity. The Brown Grove Rural Historic District was listed in the Virginia Landmarks Register in 2022 and the National Register of Historic Places in 2023, encompassing 1,226 acres and includes 65 dwellings, a store, two churches, and 10 cemeteries. Included in the district is Slash Church, constructed 1729–1732, which is individually listed in the National Register</w:t>
      </w:r>
      <w:r>
        <w:t>.</w:t>
      </w:r>
    </w:p>
    <w:p w14:paraId="2D5D50E3" w14:textId="57F58B26" w:rsidR="00873E04" w:rsidRDefault="00873E04">
      <w:r w:rsidRPr="00873E04">
        <w:t>Born enslaved on a local plantation belonging to the Perrin family, Caroline Dobson married Jefferson Morris in 1872, and the couple purchased 20 acres in Brown Grove in 1897. During her long lifetime, Caroline worked as a laundress and manager of the family’s truck farm, but is best known for her role as a midwife. She is widely known as “the Mother of Brown Grove.”</w:t>
      </w:r>
    </w:p>
    <w:p w14:paraId="1F072EDE" w14:textId="477EE717" w:rsidR="00873E04" w:rsidRDefault="00873E04">
      <w:r w:rsidRPr="00873E04">
        <w:t>Founded ca. 1870, Brown Grove Baptist Church began with small outdoor services held in a brush arbor on Sliding Hill Road. In 1883, Edwin Brown conveyed 0.1 acre of his farm to church trustees for a church site. The original frame building, constructed in the late 1920s or early 1930s, burned in 1941 and was replaced in 1945 with the current Gothic Revival brick church.</w:t>
      </w:r>
    </w:p>
    <w:p w14:paraId="36BBBA82" w14:textId="0732BCA5" w:rsidR="00873E04" w:rsidRDefault="00873E04">
      <w:r w:rsidRPr="00873E04">
        <w:t>One of the largest farms in Brown Grove, approximately 200 acres, was established by Frank and Lucy Garnett in the early 1900s, along both sides of Sliding Hill Road, including the former Merry Oaks Tavern property. The farm was later managed by Nathaniel Winston and his wife Lucy Garnett Winston, Frank and Lucy’s daughter.</w:t>
      </w:r>
    </w:p>
    <w:p w14:paraId="5FE712E4" w14:textId="12998BBE" w:rsidR="00873E04" w:rsidRDefault="00873E04">
      <w:r>
        <w:t>[</w:t>
      </w:r>
      <w:r w:rsidR="002B4270">
        <w:t>Description of background map</w:t>
      </w:r>
      <w:r>
        <w:t xml:space="preserve">: </w:t>
      </w:r>
      <w:r w:rsidRPr="00873E04">
        <w:t>Topographic map published in 1938 based on surveys conducted in 1931/1932 showing Brown Grove, including the Brown Grove School, Brown Grove Baptist Church, Jenkins Store, Slashes (Slash) Church, and a network of pathways among the community’s farms.</w:t>
      </w:r>
      <w:r>
        <w:t>]</w:t>
      </w:r>
    </w:p>
    <w:p w14:paraId="1F88732A" w14:textId="77777777" w:rsidR="00873E04" w:rsidRDefault="00873E04"/>
    <w:p w14:paraId="74FFB9AF" w14:textId="0CCADE1F" w:rsidR="00BE71CC" w:rsidRPr="00BE71CC" w:rsidRDefault="00BE71CC">
      <w:pPr>
        <w:rPr>
          <w:b/>
          <w:bCs/>
          <w:u w:val="single"/>
        </w:rPr>
      </w:pPr>
      <w:r w:rsidRPr="00BE71CC">
        <w:rPr>
          <w:b/>
          <w:bCs/>
          <w:u w:val="single"/>
        </w:rPr>
        <w:t>Lafayette’s Tour Marker, James City County</w:t>
      </w:r>
    </w:p>
    <w:p w14:paraId="79DC25FD" w14:textId="071990BC" w:rsidR="00BE71CC" w:rsidRDefault="00BE71CC">
      <w:r>
        <w:t>The board has already approved the design of the Lafayette’s Tour markers</w:t>
      </w:r>
      <w:r w:rsidR="00B67FC6">
        <w:t>. Its responsibility now is to approve the text of this sign. DHR staff did not write this text but did verify the information.</w:t>
      </w:r>
    </w:p>
    <w:p w14:paraId="44FF11EE" w14:textId="6AF3D459" w:rsidR="00350925" w:rsidRDefault="00350925">
      <w:hyperlink r:id="rId26" w:history="1">
        <w:r w:rsidRPr="001E57A0">
          <w:rPr>
            <w:rStyle w:val="Hyperlink"/>
          </w:rPr>
          <w:t>https://law.lis.virginia.gov/vacode/title10.1/chapter22/section10.1-2209/</w:t>
        </w:r>
      </w:hyperlink>
    </w:p>
    <w:p w14:paraId="7EA6F366" w14:textId="225B0860" w:rsidR="00B67FC6" w:rsidRPr="00B67FC6" w:rsidRDefault="00B67FC6" w:rsidP="00B67FC6">
      <w:pPr>
        <w:pStyle w:val="NormalWeb"/>
        <w:rPr>
          <w:color w:val="000000"/>
        </w:rPr>
      </w:pPr>
      <w:r w:rsidRPr="00B67FC6">
        <w:rPr>
          <w:color w:val="000000"/>
        </w:rPr>
        <w:t>L</w:t>
      </w:r>
      <w:r w:rsidR="001B5FCA">
        <w:rPr>
          <w:color w:val="000000"/>
        </w:rPr>
        <w:t>afayette’s Tour</w:t>
      </w:r>
    </w:p>
    <w:p w14:paraId="456ABA85" w14:textId="1065131B" w:rsidR="00B67FC6" w:rsidRPr="00B67FC6" w:rsidRDefault="00B67FC6" w:rsidP="00B67FC6">
      <w:pPr>
        <w:pStyle w:val="NormalWeb"/>
        <w:rPr>
          <w:color w:val="000000"/>
        </w:rPr>
      </w:pPr>
      <w:r w:rsidRPr="00B67FC6">
        <w:rPr>
          <w:color w:val="000000"/>
        </w:rPr>
        <w:t>On October 22, 1824, General Lafayette embarked on the steamboat Petersburg in Jamestown and arrived in Norfolk later that day.</w:t>
      </w:r>
    </w:p>
    <w:p w14:paraId="5A53E66B" w14:textId="77777777" w:rsidR="00BE71CC" w:rsidRDefault="00BE71CC"/>
    <w:p w14:paraId="0EA07656" w14:textId="799A6D3B" w:rsidR="00350925" w:rsidRPr="00350925" w:rsidRDefault="00350925">
      <w:pPr>
        <w:rPr>
          <w:b/>
          <w:bCs/>
          <w:u w:val="single"/>
        </w:rPr>
      </w:pPr>
      <w:r w:rsidRPr="00350925">
        <w:rPr>
          <w:b/>
          <w:bCs/>
          <w:u w:val="single"/>
        </w:rPr>
        <w:t>New Kent Local Marker Program</w:t>
      </w:r>
    </w:p>
    <w:p w14:paraId="7D108D7B" w14:textId="3024A18C" w:rsidR="00350925" w:rsidRDefault="00350925">
      <w:r>
        <w:t>The board’s responsibility is to review the design of the local marker and verify that it is sufficiently different in appearance from the markers in the state system.</w:t>
      </w:r>
    </w:p>
    <w:p w14:paraId="0F24AC96" w14:textId="3859B7A2" w:rsidR="00E07825" w:rsidRDefault="00E07825">
      <w:hyperlink r:id="rId27" w:history="1">
        <w:r w:rsidRPr="001E57A0">
          <w:rPr>
            <w:rStyle w:val="Hyperlink"/>
          </w:rPr>
          <w:t>https://law.lis.virginia.gov/vacode/title10.1/chapter22/section10.1-2210/</w:t>
        </w:r>
      </w:hyperlink>
    </w:p>
    <w:p w14:paraId="0648AB59" w14:textId="0CFDC026" w:rsidR="00350925" w:rsidRDefault="00350925">
      <w:r>
        <w:t>The markers will be 32 inches wide and 40 inches tall. They will have a white background with black lettering.</w:t>
      </w:r>
    </w:p>
    <w:p w14:paraId="2B006704" w14:textId="77777777" w:rsidR="00350925" w:rsidRDefault="00350925"/>
    <w:p w14:paraId="7644B4AB" w14:textId="2C857B1D" w:rsidR="00350925" w:rsidRPr="00350925" w:rsidRDefault="00350925" w:rsidP="00350925">
      <w:r w:rsidRPr="00350925">
        <w:drawing>
          <wp:inline distT="0" distB="0" distL="0" distR="0" wp14:anchorId="34B09B5B" wp14:editId="3ED5EF99">
            <wp:extent cx="3177540" cy="3313672"/>
            <wp:effectExtent l="0" t="0" r="3810" b="1270"/>
            <wp:docPr id="69440268" name="Picture 1" descr="A picture containing text,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0268" name="Picture 1" descr="A picture containing text, tre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3239" cy="3319615"/>
                    </a:xfrm>
                    <a:prstGeom prst="rect">
                      <a:avLst/>
                    </a:prstGeom>
                    <a:noFill/>
                    <a:ln>
                      <a:noFill/>
                    </a:ln>
                  </pic:spPr>
                </pic:pic>
              </a:graphicData>
            </a:graphic>
          </wp:inline>
        </w:drawing>
      </w:r>
    </w:p>
    <w:p w14:paraId="5457CCB7" w14:textId="77777777" w:rsidR="00350925" w:rsidRPr="00B67FC6" w:rsidRDefault="00350925"/>
    <w:sectPr w:rsidR="00350925" w:rsidRPr="00B67F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011"/>
    <w:rsid w:val="00046B21"/>
    <w:rsid w:val="00097439"/>
    <w:rsid w:val="000B6011"/>
    <w:rsid w:val="001120C8"/>
    <w:rsid w:val="001B5FCA"/>
    <w:rsid w:val="001C1E1A"/>
    <w:rsid w:val="001D6F30"/>
    <w:rsid w:val="002B4270"/>
    <w:rsid w:val="00350925"/>
    <w:rsid w:val="00395000"/>
    <w:rsid w:val="003B79CD"/>
    <w:rsid w:val="00755644"/>
    <w:rsid w:val="00873E04"/>
    <w:rsid w:val="00875A5D"/>
    <w:rsid w:val="00927D44"/>
    <w:rsid w:val="00931D1A"/>
    <w:rsid w:val="00957968"/>
    <w:rsid w:val="00971585"/>
    <w:rsid w:val="00A06952"/>
    <w:rsid w:val="00B427F5"/>
    <w:rsid w:val="00B67FC6"/>
    <w:rsid w:val="00BA12A6"/>
    <w:rsid w:val="00BE71CC"/>
    <w:rsid w:val="00CA7763"/>
    <w:rsid w:val="00CB6EB9"/>
    <w:rsid w:val="00D750E2"/>
    <w:rsid w:val="00DB7CEB"/>
    <w:rsid w:val="00E07825"/>
    <w:rsid w:val="00E24750"/>
    <w:rsid w:val="00E2479A"/>
    <w:rsid w:val="00E27DAE"/>
    <w:rsid w:val="00E46FB3"/>
    <w:rsid w:val="00E529AE"/>
    <w:rsid w:val="00EA1B34"/>
    <w:rsid w:val="00F17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7AC8F"/>
  <w15:chartTrackingRefBased/>
  <w15:docId w15:val="{E3B27019-B0B1-4230-8E9B-D0D341BC1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60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60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601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601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B601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B601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B601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B601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B601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0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60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601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601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B601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B601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B601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B601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B601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B60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60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601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601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B6011"/>
    <w:pPr>
      <w:spacing w:before="160"/>
      <w:jc w:val="center"/>
    </w:pPr>
    <w:rPr>
      <w:i/>
      <w:iCs/>
      <w:color w:val="404040" w:themeColor="text1" w:themeTint="BF"/>
    </w:rPr>
  </w:style>
  <w:style w:type="character" w:customStyle="1" w:styleId="QuoteChar">
    <w:name w:val="Quote Char"/>
    <w:basedOn w:val="DefaultParagraphFont"/>
    <w:link w:val="Quote"/>
    <w:uiPriority w:val="29"/>
    <w:rsid w:val="000B6011"/>
    <w:rPr>
      <w:i/>
      <w:iCs/>
      <w:color w:val="404040" w:themeColor="text1" w:themeTint="BF"/>
    </w:rPr>
  </w:style>
  <w:style w:type="paragraph" w:styleId="ListParagraph">
    <w:name w:val="List Paragraph"/>
    <w:basedOn w:val="Normal"/>
    <w:uiPriority w:val="34"/>
    <w:qFormat/>
    <w:rsid w:val="000B6011"/>
    <w:pPr>
      <w:ind w:left="720"/>
      <w:contextualSpacing/>
    </w:pPr>
  </w:style>
  <w:style w:type="character" w:styleId="IntenseEmphasis">
    <w:name w:val="Intense Emphasis"/>
    <w:basedOn w:val="DefaultParagraphFont"/>
    <w:uiPriority w:val="21"/>
    <w:qFormat/>
    <w:rsid w:val="000B6011"/>
    <w:rPr>
      <w:i/>
      <w:iCs/>
      <w:color w:val="0F4761" w:themeColor="accent1" w:themeShade="BF"/>
    </w:rPr>
  </w:style>
  <w:style w:type="paragraph" w:styleId="IntenseQuote">
    <w:name w:val="Intense Quote"/>
    <w:basedOn w:val="Normal"/>
    <w:next w:val="Normal"/>
    <w:link w:val="IntenseQuoteChar"/>
    <w:uiPriority w:val="30"/>
    <w:qFormat/>
    <w:rsid w:val="000B60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6011"/>
    <w:rPr>
      <w:i/>
      <w:iCs/>
      <w:color w:val="0F4761" w:themeColor="accent1" w:themeShade="BF"/>
    </w:rPr>
  </w:style>
  <w:style w:type="character" w:styleId="IntenseReference">
    <w:name w:val="Intense Reference"/>
    <w:basedOn w:val="DefaultParagraphFont"/>
    <w:uiPriority w:val="32"/>
    <w:qFormat/>
    <w:rsid w:val="000B6011"/>
    <w:rPr>
      <w:b/>
      <w:bCs/>
      <w:smallCaps/>
      <w:color w:val="0F4761" w:themeColor="accent1" w:themeShade="BF"/>
      <w:spacing w:val="5"/>
    </w:rPr>
  </w:style>
  <w:style w:type="paragraph" w:styleId="NormalWeb">
    <w:name w:val="Normal (Web)"/>
    <w:basedOn w:val="Normal"/>
    <w:uiPriority w:val="99"/>
    <w:semiHidden/>
    <w:unhideWhenUsed/>
    <w:rsid w:val="00B67FC6"/>
    <w:pPr>
      <w:spacing w:before="100" w:beforeAutospacing="1" w:after="100" w:afterAutospacing="1" w:line="240" w:lineRule="auto"/>
    </w:pPr>
    <w:rPr>
      <w:rFonts w:eastAsia="Times New Roman"/>
      <w:kern w:val="0"/>
      <w14:ligatures w14:val="none"/>
    </w:rPr>
  </w:style>
  <w:style w:type="character" w:styleId="Hyperlink">
    <w:name w:val="Hyperlink"/>
    <w:basedOn w:val="DefaultParagraphFont"/>
    <w:uiPriority w:val="99"/>
    <w:unhideWhenUsed/>
    <w:rsid w:val="00350925"/>
    <w:rPr>
      <w:color w:val="467886" w:themeColor="hyperlink"/>
      <w:u w:val="single"/>
    </w:rPr>
  </w:style>
  <w:style w:type="character" w:styleId="UnresolvedMention">
    <w:name w:val="Unresolved Mention"/>
    <w:basedOn w:val="DefaultParagraphFont"/>
    <w:uiPriority w:val="99"/>
    <w:semiHidden/>
    <w:unhideWhenUsed/>
    <w:rsid w:val="00350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361928">
      <w:bodyDiv w:val="1"/>
      <w:marLeft w:val="0"/>
      <w:marRight w:val="0"/>
      <w:marTop w:val="0"/>
      <w:marBottom w:val="0"/>
      <w:divBdr>
        <w:top w:val="none" w:sz="0" w:space="0" w:color="auto"/>
        <w:left w:val="none" w:sz="0" w:space="0" w:color="auto"/>
        <w:bottom w:val="none" w:sz="0" w:space="0" w:color="auto"/>
        <w:right w:val="none" w:sz="0" w:space="0" w:color="auto"/>
      </w:divBdr>
    </w:div>
    <w:div w:id="1241677744">
      <w:bodyDiv w:val="1"/>
      <w:marLeft w:val="0"/>
      <w:marRight w:val="0"/>
      <w:marTop w:val="0"/>
      <w:marBottom w:val="0"/>
      <w:divBdr>
        <w:top w:val="none" w:sz="0" w:space="0" w:color="auto"/>
        <w:left w:val="none" w:sz="0" w:space="0" w:color="auto"/>
        <w:bottom w:val="none" w:sz="0" w:space="0" w:color="auto"/>
        <w:right w:val="none" w:sz="0" w:space="0" w:color="auto"/>
      </w:divBdr>
    </w:div>
    <w:div w:id="180330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harris@heightschurch.info" TargetMode="External"/><Relationship Id="rId13" Type="http://schemas.openxmlformats.org/officeDocument/2006/relationships/hyperlink" Target="https://highways.dot.gov/federal-lands/about/blue-ridge.pdf" TargetMode="External"/><Relationship Id="rId18" Type="http://schemas.openxmlformats.org/officeDocument/2006/relationships/hyperlink" Target="mailto:jpaulsonlee@gmail.com" TargetMode="External"/><Relationship Id="rId26" Type="http://schemas.openxmlformats.org/officeDocument/2006/relationships/hyperlink" Target="https://law.lis.virginia.gov/vacode/title10.1/chapter22/section10.1-2209/" TargetMode="External"/><Relationship Id="rId3" Type="http://schemas.openxmlformats.org/officeDocument/2006/relationships/webSettings" Target="webSettings.xml"/><Relationship Id="rId21" Type="http://schemas.openxmlformats.org/officeDocument/2006/relationships/hyperlink" Target="https://www.richmondcemeteries.org/africanburialground/" TargetMode="External"/><Relationship Id="rId7" Type="http://schemas.openxmlformats.org/officeDocument/2006/relationships/hyperlink" Target="mailto:vcilentojohnson@comcast.net" TargetMode="External"/><Relationship Id="rId12" Type="http://schemas.openxmlformats.org/officeDocument/2006/relationships/hyperlink" Target="https://www.asce.org/about-civil-engineering/history-and-heritage/historic-landmarks/blue-ridge-parkway" TargetMode="External"/><Relationship Id="rId17" Type="http://schemas.openxmlformats.org/officeDocument/2006/relationships/hyperlink" Target="mailto:mfsawyers1001@yahoo.com" TargetMode="External"/><Relationship Id="rId25"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mailto:inaelsabe@gmail.com" TargetMode="External"/><Relationship Id="rId20" Type="http://schemas.openxmlformats.org/officeDocument/2006/relationships/hyperlink" Target="https://www.visitroanokeva.com/biking/road-biking-cycling/transamerica-bicycle-trail/"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thackworth2000@icloud.com" TargetMode="External"/><Relationship Id="rId11" Type="http://schemas.openxmlformats.org/officeDocument/2006/relationships/hyperlink" Target="https://www.nps.gov/blri/learn/historyculture/index.htm" TargetMode="External"/><Relationship Id="rId24" Type="http://schemas.openxmlformats.org/officeDocument/2006/relationships/hyperlink" Target="https://law.lis.virginia.gov/vacode/title10.1/chapter22/section10.1-2209/" TargetMode="External"/><Relationship Id="rId5" Type="http://schemas.openxmlformats.org/officeDocument/2006/relationships/hyperlink" Target="https://babel.hathitrust.org/cgi/pt?id=mdp.39015075053853&amp;seq=231" TargetMode="External"/><Relationship Id="rId15" Type="http://schemas.openxmlformats.org/officeDocument/2006/relationships/hyperlink" Target="https://docsouth.unc.edu/blueridgeparkway/about/about_parkway/parkway/" TargetMode="External"/><Relationship Id="rId23" Type="http://schemas.openxmlformats.org/officeDocument/2006/relationships/hyperlink" Target="https://www.nps.gov/articles/000/the-burning-shenandoah-valley-in-flames.htm" TargetMode="External"/><Relationship Id="rId28" Type="http://schemas.openxmlformats.org/officeDocument/2006/relationships/image" Target="media/image2.png"/><Relationship Id="rId10" Type="http://schemas.openxmlformats.org/officeDocument/2006/relationships/hyperlink" Target="https://www.virtualblueridge.com/wp-content/uploads/brp_HABS_HAER_report.pdf" TargetMode="External"/><Relationship Id="rId19" Type="http://schemas.openxmlformats.org/officeDocument/2006/relationships/hyperlink" Target="https://www.adventurecycling.org/blog/bikecentennial-summer-of-1976/" TargetMode="External"/><Relationship Id="rId4" Type="http://schemas.openxmlformats.org/officeDocument/2006/relationships/hyperlink" Target="mailto:hlovethyneighbor@aol.com" TargetMode="External"/><Relationship Id="rId9" Type="http://schemas.openxmlformats.org/officeDocument/2006/relationships/hyperlink" Target="https://vso-hns.org/endowed-lectureship" TargetMode="External"/><Relationship Id="rId14" Type="http://schemas.openxmlformats.org/officeDocument/2006/relationships/hyperlink" Target="https://www.smithsonianmag.com/history/75-years-of-the-blue-ridge-parkway-61889786/" TargetMode="External"/><Relationship Id="rId22" Type="http://schemas.openxmlformats.org/officeDocument/2006/relationships/hyperlink" Target="https://www.sacredgroundproject.net/p/richmonds-african-burial-ground.html" TargetMode="External"/><Relationship Id="rId27" Type="http://schemas.openxmlformats.org/officeDocument/2006/relationships/hyperlink" Target="https://law.lis.virginia.gov/vacode/title10.1/chapter22/section10.1-221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434</TotalTime>
  <Pages>22</Pages>
  <Words>6700</Words>
  <Characters>38191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44802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Loux, Jennifer (DHR)</dc:creator>
  <cp:keywords/>
  <dc:description/>
  <cp:lastModifiedBy>Loux, Jennifer (DHR)</cp:lastModifiedBy>
  <cp:revision>20</cp:revision>
  <dcterms:created xsi:type="dcterms:W3CDTF">2025-07-18T13:09:00Z</dcterms:created>
  <dcterms:modified xsi:type="dcterms:W3CDTF">2025-09-11T20:28:00Z</dcterms:modified>
</cp:coreProperties>
</file>